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E2C4F" w14:textId="761FA616" w:rsidR="003911CF" w:rsidRPr="0008796C" w:rsidRDefault="005577A3" w:rsidP="003911CF">
      <w:pPr>
        <w:spacing w:after="0" w:line="240" w:lineRule="auto"/>
        <w:jc w:val="both"/>
        <w:rPr>
          <w:rFonts w:ascii="Times New Roman" w:eastAsia="Times New Roman" w:hAnsi="Times New Roman" w:cs="Times New Roman"/>
          <w:b/>
          <w:bCs/>
          <w:sz w:val="28"/>
          <w:szCs w:val="28"/>
          <w:lang w:bidi="fa-IR"/>
        </w:rPr>
      </w:pPr>
      <w:r w:rsidRPr="005577A3">
        <w:rPr>
          <w:rFonts w:ascii="Times New Roman" w:eastAsia="Times New Roman" w:hAnsi="Times New Roman" w:cs="Times New Roman"/>
          <w:b/>
          <w:bCs/>
          <w:sz w:val="28"/>
          <w:szCs w:val="28"/>
        </w:rPr>
        <w:t>Evaluating the impact of exchange rate fluctuations on core inflation using the Mandel-Fleming stochastic model and identifying the mutual relationship between exchange rate fluctuations and inflation deviations in Iran</w:t>
      </w:r>
    </w:p>
    <w:p w14:paraId="78BAF9C0" w14:textId="4B91673A" w:rsidR="00D82209" w:rsidRDefault="003642DB" w:rsidP="003911CF">
      <w:pPr>
        <w:spacing w:after="0" w:line="240" w:lineRule="auto"/>
        <w:rPr>
          <w:rFonts w:ascii="Times New Roman" w:hAnsi="Times New Roman" w:cs="Times New Roman"/>
          <w:i/>
          <w:sz w:val="22"/>
          <w:szCs w:val="22"/>
          <w:lang w:bidi="fa-IR"/>
        </w:rPr>
      </w:pPr>
      <w:r>
        <w:rPr>
          <w:rFonts w:ascii="Times New Roman" w:hAnsi="Times New Roman" w:cs="Times New Roman"/>
          <w:i/>
          <w:sz w:val="22"/>
          <w:szCs w:val="22"/>
          <w:lang w:bidi="fa-IR"/>
        </w:rPr>
        <w:t xml:space="preserve">Hamed </w:t>
      </w:r>
      <w:proofErr w:type="spellStart"/>
      <w:r>
        <w:rPr>
          <w:rFonts w:ascii="Times New Roman" w:hAnsi="Times New Roman" w:cs="Times New Roman"/>
          <w:i/>
          <w:sz w:val="22"/>
          <w:szCs w:val="22"/>
          <w:lang w:bidi="fa-IR"/>
        </w:rPr>
        <w:t>Pirpour</w:t>
      </w:r>
      <w:proofErr w:type="spellEnd"/>
      <w:r w:rsidRPr="00D82209">
        <w:rPr>
          <w:rFonts w:ascii="Times New Roman" w:hAnsi="Times New Roman" w:cs="Times New Roman"/>
          <w:i/>
          <w:sz w:val="22"/>
          <w:szCs w:val="22"/>
          <w:lang w:bidi="fa-IR"/>
        </w:rPr>
        <w:t>*</w:t>
      </w:r>
      <w:r w:rsidRPr="00D82209">
        <w:rPr>
          <w:rFonts w:ascii="Caecilia LT Std Roman" w:eastAsia="Batang" w:hAnsi="Caecilia LT Std Roman"/>
          <w:b/>
          <w:noProof/>
          <w:sz w:val="22"/>
          <w:szCs w:val="22"/>
          <w:vertAlign w:val="superscript"/>
        </w:rPr>
        <w:drawing>
          <wp:inline distT="0" distB="0" distL="0" distR="0" wp14:anchorId="578BDE23" wp14:editId="2BD5B81D">
            <wp:extent cx="91440" cy="914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Pr>
          <w:rFonts w:ascii="Times New Roman" w:hAnsi="Times New Roman" w:cs="Times New Roman"/>
          <w:i/>
          <w:sz w:val="22"/>
          <w:szCs w:val="22"/>
          <w:lang w:bidi="fa-IR"/>
        </w:rPr>
        <w:t xml:space="preserve">, </w:t>
      </w:r>
      <w:r w:rsidR="00D82209" w:rsidRPr="00D82209">
        <w:rPr>
          <w:rFonts w:ascii="Times New Roman" w:hAnsi="Times New Roman" w:cs="Times New Roman"/>
          <w:i/>
          <w:sz w:val="22"/>
          <w:szCs w:val="22"/>
          <w:lang w:bidi="fa-IR"/>
        </w:rPr>
        <w:t xml:space="preserve">Hossein </w:t>
      </w:r>
      <w:proofErr w:type="spellStart"/>
      <w:r w:rsidR="00D82209" w:rsidRPr="00D82209">
        <w:rPr>
          <w:rFonts w:ascii="Times New Roman" w:hAnsi="Times New Roman" w:cs="Times New Roman"/>
          <w:i/>
          <w:sz w:val="22"/>
          <w:szCs w:val="22"/>
          <w:lang w:bidi="fa-IR"/>
        </w:rPr>
        <w:t>Samsami</w:t>
      </w:r>
      <w:proofErr w:type="spellEnd"/>
      <w:r w:rsidR="00D82209" w:rsidRPr="00D82209">
        <w:rPr>
          <w:rFonts w:ascii="Times New Roman" w:hAnsi="Times New Roman" w:cs="Times New Roman"/>
          <w:i/>
          <w:sz w:val="22"/>
          <w:szCs w:val="22"/>
          <w:lang w:bidi="fa-IR"/>
        </w:rPr>
        <w:t xml:space="preserve"> </w:t>
      </w:r>
      <w:proofErr w:type="spellStart"/>
      <w:r w:rsidR="00D82209" w:rsidRPr="00D82209">
        <w:rPr>
          <w:rFonts w:ascii="Times New Roman" w:hAnsi="Times New Roman" w:cs="Times New Roman"/>
          <w:i/>
          <w:sz w:val="22"/>
          <w:szCs w:val="22"/>
          <w:lang w:bidi="fa-IR"/>
        </w:rPr>
        <w:t>Mazrae</w:t>
      </w:r>
      <w:proofErr w:type="spellEnd"/>
      <w:r w:rsidR="00D82209" w:rsidRPr="00D82209">
        <w:rPr>
          <w:rFonts w:ascii="Times New Roman" w:hAnsi="Times New Roman" w:cs="Times New Roman"/>
          <w:i/>
          <w:sz w:val="22"/>
          <w:szCs w:val="22"/>
          <w:lang w:bidi="fa-IR"/>
        </w:rPr>
        <w:t xml:space="preserve"> Akhund*</w:t>
      </w:r>
      <w:r>
        <w:rPr>
          <w:rFonts w:ascii="Times New Roman" w:hAnsi="Times New Roman" w:cs="Times New Roman"/>
          <w:i/>
          <w:sz w:val="22"/>
          <w:szCs w:val="22"/>
          <w:lang w:bidi="fa-IR"/>
        </w:rPr>
        <w:t>*</w:t>
      </w:r>
    </w:p>
    <w:p w14:paraId="5A69E643" w14:textId="77777777" w:rsidR="003642DB" w:rsidRPr="003642DB" w:rsidRDefault="003642DB" w:rsidP="003911CF">
      <w:pPr>
        <w:spacing w:after="0" w:line="240" w:lineRule="auto"/>
        <w:rPr>
          <w:rFonts w:ascii="Times New Roman" w:hAnsi="Times New Roman" w:cs="Times New Roman"/>
          <w:i/>
          <w:lang w:bidi="fa-IR"/>
        </w:rPr>
      </w:pPr>
    </w:p>
    <w:p w14:paraId="39A21E09" w14:textId="665887CC" w:rsidR="003642DB" w:rsidRDefault="003642DB" w:rsidP="003642DB">
      <w:pPr>
        <w:spacing w:after="0" w:line="240" w:lineRule="auto"/>
        <w:jc w:val="both"/>
        <w:rPr>
          <w:rFonts w:ascii="Times New Roman" w:hAnsi="Times New Roman" w:cs="Times New Roman"/>
          <w:i/>
          <w:sz w:val="18"/>
          <w:szCs w:val="10"/>
          <w:lang w:bidi="fa-IR"/>
        </w:rPr>
      </w:pPr>
      <w:r>
        <w:rPr>
          <w:rFonts w:ascii="Times New Roman" w:hAnsi="Times New Roman" w:cs="Times New Roman"/>
          <w:i/>
          <w:sz w:val="18"/>
          <w:szCs w:val="10"/>
          <w:lang w:bidi="fa-IR"/>
        </w:rPr>
        <w:t xml:space="preserve">* </w:t>
      </w:r>
      <w:r w:rsidRPr="00D82209">
        <w:rPr>
          <w:rFonts w:ascii="Times New Roman" w:hAnsi="Times New Roman" w:cs="Times New Roman"/>
          <w:i/>
          <w:sz w:val="18"/>
          <w:szCs w:val="10"/>
          <w:lang w:bidi="fa-IR"/>
        </w:rPr>
        <w:t>PhD student in monetary economics, Department of Economics, Faculty of Economics and Political Science, Shahid Beheshti University, Tehran, Iran (Corresponding Author)</w:t>
      </w:r>
    </w:p>
    <w:p w14:paraId="1B671A63" w14:textId="77777777" w:rsidR="003642DB" w:rsidRPr="00DD14E1" w:rsidRDefault="003642DB" w:rsidP="003642DB">
      <w:pPr>
        <w:spacing w:after="0" w:line="240" w:lineRule="auto"/>
        <w:rPr>
          <w:rFonts w:ascii="Times New Roman" w:hAnsi="Times New Roman" w:cs="Times New Roman"/>
          <w:i/>
          <w:sz w:val="18"/>
          <w:szCs w:val="10"/>
          <w:lang w:bidi="fa-IR"/>
        </w:rPr>
      </w:pPr>
      <w:r w:rsidRPr="0008796C">
        <w:rPr>
          <w:rFonts w:ascii="Times New Roman" w:hAnsi="Times New Roman" w:cs="Times New Roman"/>
          <w:b/>
          <w:bCs/>
          <w:i/>
          <w:sz w:val="18"/>
          <w:szCs w:val="10"/>
          <w:lang w:bidi="fa-IR"/>
        </w:rPr>
        <w:t>Email</w:t>
      </w:r>
      <w:r>
        <w:rPr>
          <w:rFonts w:ascii="Times New Roman" w:hAnsi="Times New Roman" w:cs="Times New Roman"/>
          <w:b/>
          <w:bCs/>
          <w:i/>
          <w:sz w:val="18"/>
          <w:szCs w:val="10"/>
          <w:lang w:bidi="fa-IR"/>
        </w:rPr>
        <w:t xml:space="preserve">: </w:t>
      </w:r>
      <w:hyperlink r:id="rId9" w:history="1">
        <w:r w:rsidRPr="00DD14E1">
          <w:rPr>
            <w:rStyle w:val="Hyperlink"/>
            <w:rFonts w:ascii="Times New Roman" w:hAnsi="Times New Roman" w:cs="Times New Roman"/>
            <w:i/>
            <w:sz w:val="18"/>
            <w:szCs w:val="10"/>
            <w:u w:val="none"/>
            <w:lang w:bidi="fa-IR"/>
          </w:rPr>
          <w:t>h_pirpour@sbu.ac.ir</w:t>
        </w:r>
      </w:hyperlink>
    </w:p>
    <w:p w14:paraId="5D6BF6A5" w14:textId="5C76B594" w:rsidR="003642DB" w:rsidRPr="00DD14E1" w:rsidRDefault="00567852" w:rsidP="003642DB">
      <w:pPr>
        <w:spacing w:after="0" w:line="240" w:lineRule="auto"/>
        <w:rPr>
          <w:rFonts w:ascii="Times New Roman" w:hAnsi="Times New Roman" w:cs="Times New Roman"/>
          <w:b/>
          <w:bCs/>
          <w:iCs/>
          <w:color w:val="0070C0"/>
          <w:sz w:val="18"/>
          <w:szCs w:val="10"/>
          <w:u w:val="single"/>
          <w:lang w:bidi="fa-IR"/>
        </w:rPr>
      </w:pPr>
      <w:r>
        <w:pict w14:anchorId="5CAABBFD">
          <v:shape id="Picture 1" o:spid="_x0000_i1027" type="#_x0000_t75" style="width:12pt;height:12pt;visibility:visible;mso-wrap-style:square">
            <v:imagedata r:id="rId10" o:title=""/>
          </v:shape>
        </w:pict>
      </w:r>
      <w:r w:rsidR="003642DB" w:rsidRPr="0008796C">
        <w:rPr>
          <w:rFonts w:ascii="Times New Roman" w:hAnsi="Times New Roman" w:cs="Times New Roman"/>
          <w:i/>
          <w:sz w:val="18"/>
          <w:szCs w:val="10"/>
          <w:lang w:bidi="fa-IR"/>
        </w:rPr>
        <w:t xml:space="preserve">: </w:t>
      </w:r>
      <w:r w:rsidR="003642DB" w:rsidRPr="00DD14E1">
        <w:rPr>
          <w:rFonts w:ascii="Times New Roman" w:hAnsi="Times New Roman" w:cs="Times New Roman"/>
          <w:b/>
          <w:bCs/>
          <w:iCs/>
          <w:color w:val="0070C0"/>
          <w:sz w:val="18"/>
          <w:szCs w:val="10"/>
          <w:u w:val="single"/>
          <w:lang w:bidi="fa-IR"/>
        </w:rPr>
        <w:t>0000-0003-2517-5440</w:t>
      </w:r>
    </w:p>
    <w:p w14:paraId="39B07418" w14:textId="11E1F801" w:rsidR="003642DB" w:rsidRDefault="003642DB" w:rsidP="003642DB">
      <w:pPr>
        <w:spacing w:after="0" w:line="240" w:lineRule="auto"/>
        <w:jc w:val="both"/>
        <w:rPr>
          <w:rFonts w:ascii="Times New Roman" w:hAnsi="Times New Roman" w:cs="Times New Roman"/>
          <w:i/>
          <w:sz w:val="18"/>
          <w:szCs w:val="18"/>
          <w:lang w:bidi="fa-IR"/>
        </w:rPr>
      </w:pPr>
      <w:r w:rsidRPr="0008796C">
        <w:rPr>
          <w:rFonts w:ascii="Times New Roman" w:hAnsi="Times New Roman" w:cs="Times New Roman"/>
          <w:b/>
          <w:bCs/>
          <w:i/>
          <w:sz w:val="18"/>
          <w:szCs w:val="10"/>
          <w:lang w:bidi="fa-IR"/>
        </w:rPr>
        <w:t>Postal address</w:t>
      </w:r>
      <w:r w:rsidRPr="0008796C">
        <w:rPr>
          <w:rFonts w:ascii="Times New Roman" w:hAnsi="Times New Roman" w:cs="Times New Roman"/>
          <w:i/>
          <w:sz w:val="18"/>
          <w:szCs w:val="10"/>
          <w:lang w:bidi="fa-IR"/>
        </w:rPr>
        <w:t>:</w:t>
      </w:r>
      <w:r>
        <w:rPr>
          <w:rFonts w:ascii="Times New Roman" w:hAnsi="Times New Roman" w:cs="Times New Roman"/>
          <w:i/>
          <w:sz w:val="18"/>
          <w:szCs w:val="10"/>
          <w:lang w:bidi="fa-IR"/>
        </w:rPr>
        <w:t xml:space="preserve"> </w:t>
      </w:r>
      <w:r w:rsidRPr="00D82209">
        <w:rPr>
          <w:rFonts w:ascii="Times New Roman" w:hAnsi="Times New Roman" w:cs="Times New Roman"/>
          <w:i/>
          <w:sz w:val="18"/>
          <w:szCs w:val="10"/>
          <w:lang w:bidi="fa-IR"/>
        </w:rPr>
        <w:t>Faculty of Economics and Political Science, Shahid Beheshti University, Tehran, Iran</w:t>
      </w:r>
    </w:p>
    <w:p w14:paraId="6D53CAC4" w14:textId="77777777" w:rsidR="003642DB" w:rsidRDefault="003642DB" w:rsidP="00D82209">
      <w:pPr>
        <w:spacing w:after="0" w:line="240" w:lineRule="auto"/>
        <w:jc w:val="both"/>
        <w:rPr>
          <w:rFonts w:ascii="Times New Roman" w:hAnsi="Times New Roman" w:cs="Times New Roman"/>
          <w:i/>
          <w:sz w:val="18"/>
          <w:szCs w:val="18"/>
          <w:lang w:bidi="fa-IR"/>
        </w:rPr>
      </w:pPr>
    </w:p>
    <w:p w14:paraId="0F21A6CD" w14:textId="19687DA1" w:rsidR="003911CF" w:rsidRPr="00D82209" w:rsidRDefault="00D82209" w:rsidP="00D82209">
      <w:pPr>
        <w:spacing w:after="0" w:line="240" w:lineRule="auto"/>
        <w:jc w:val="both"/>
        <w:rPr>
          <w:rFonts w:ascii="Times New Roman" w:hAnsi="Times New Roman" w:cs="Times New Roman"/>
          <w:i/>
          <w:sz w:val="18"/>
          <w:szCs w:val="18"/>
          <w:lang w:bidi="fa-IR"/>
        </w:rPr>
      </w:pPr>
      <w:r w:rsidRPr="00D82209">
        <w:rPr>
          <w:rFonts w:ascii="Times New Roman" w:hAnsi="Times New Roman" w:cs="Times New Roman"/>
          <w:i/>
          <w:sz w:val="18"/>
          <w:szCs w:val="18"/>
          <w:lang w:bidi="fa-IR"/>
        </w:rPr>
        <w:t>*</w:t>
      </w:r>
      <w:r w:rsidR="003642DB">
        <w:rPr>
          <w:rFonts w:ascii="Times New Roman" w:hAnsi="Times New Roman" w:cs="Times New Roman"/>
          <w:i/>
          <w:sz w:val="18"/>
          <w:szCs w:val="18"/>
          <w:lang w:bidi="fa-IR"/>
        </w:rPr>
        <w:t>*</w:t>
      </w:r>
      <w:r w:rsidRPr="00D82209">
        <w:rPr>
          <w:sz w:val="18"/>
          <w:szCs w:val="18"/>
        </w:rPr>
        <w:t xml:space="preserve"> </w:t>
      </w:r>
      <w:r w:rsidRPr="00D82209">
        <w:rPr>
          <w:rFonts w:ascii="Times New Roman" w:hAnsi="Times New Roman" w:cs="Times New Roman"/>
          <w:i/>
          <w:sz w:val="18"/>
          <w:szCs w:val="18"/>
          <w:lang w:bidi="fa-IR"/>
        </w:rPr>
        <w:t>Assistant Professor of Economics, Department of Economics, Faculty of Economics and Political Science, Shahid Beheshti University, Tehran, Iran</w:t>
      </w:r>
    </w:p>
    <w:p w14:paraId="08BB363C" w14:textId="1E867C21" w:rsidR="00D82209" w:rsidRPr="00DD14E1" w:rsidRDefault="003911CF" w:rsidP="00D82209">
      <w:pPr>
        <w:spacing w:after="0" w:line="240" w:lineRule="auto"/>
        <w:rPr>
          <w:rFonts w:ascii="Times New Roman" w:hAnsi="Times New Roman" w:cs="Times New Roman"/>
          <w:i/>
          <w:sz w:val="18"/>
          <w:szCs w:val="10"/>
          <w:lang w:bidi="fa-IR"/>
        </w:rPr>
      </w:pPr>
      <w:r w:rsidRPr="0008796C">
        <w:rPr>
          <w:rFonts w:ascii="Times New Roman" w:hAnsi="Times New Roman" w:cs="Times New Roman"/>
          <w:b/>
          <w:bCs/>
          <w:i/>
          <w:sz w:val="18"/>
          <w:szCs w:val="10"/>
          <w:lang w:bidi="fa-IR"/>
        </w:rPr>
        <w:t>Email</w:t>
      </w:r>
      <w:r>
        <w:rPr>
          <w:rFonts w:ascii="Times New Roman" w:hAnsi="Times New Roman" w:cs="Times New Roman"/>
          <w:b/>
          <w:bCs/>
          <w:i/>
          <w:sz w:val="18"/>
          <w:szCs w:val="10"/>
          <w:lang w:bidi="fa-IR"/>
        </w:rPr>
        <w:t xml:space="preserve">: </w:t>
      </w:r>
      <w:hyperlink r:id="rId11" w:history="1">
        <w:r w:rsidR="00D82209" w:rsidRPr="00DD14E1">
          <w:rPr>
            <w:rStyle w:val="Hyperlink"/>
            <w:rFonts w:ascii="Times New Roman" w:hAnsi="Times New Roman" w:cs="Times New Roman"/>
            <w:i/>
            <w:sz w:val="18"/>
            <w:szCs w:val="10"/>
            <w:u w:val="none"/>
            <w:lang w:bidi="fa-IR"/>
          </w:rPr>
          <w:t>H-Samsami@sbu.ac.ir</w:t>
        </w:r>
      </w:hyperlink>
    </w:p>
    <w:p w14:paraId="664CF09A" w14:textId="1B512B97" w:rsidR="003642DB" w:rsidRDefault="003911CF" w:rsidP="00F864EA">
      <w:pPr>
        <w:spacing w:after="0" w:line="240" w:lineRule="auto"/>
        <w:jc w:val="both"/>
        <w:rPr>
          <w:rFonts w:ascii="Times New Roman" w:hAnsi="Times New Roman" w:cs="Times New Roman"/>
          <w:i/>
          <w:sz w:val="18"/>
          <w:szCs w:val="10"/>
          <w:lang w:bidi="fa-IR"/>
        </w:rPr>
      </w:pPr>
      <w:r w:rsidRPr="0008796C">
        <w:rPr>
          <w:rFonts w:ascii="Times New Roman" w:hAnsi="Times New Roman" w:cs="Times New Roman"/>
          <w:b/>
          <w:bCs/>
          <w:i/>
          <w:sz w:val="18"/>
          <w:szCs w:val="10"/>
          <w:lang w:bidi="fa-IR"/>
        </w:rPr>
        <w:t>Postal address</w:t>
      </w:r>
      <w:r w:rsidRPr="0008796C">
        <w:rPr>
          <w:rFonts w:ascii="Times New Roman" w:hAnsi="Times New Roman" w:cs="Times New Roman"/>
          <w:i/>
          <w:sz w:val="18"/>
          <w:szCs w:val="10"/>
          <w:lang w:bidi="fa-IR"/>
        </w:rPr>
        <w:t>:</w:t>
      </w:r>
      <w:r w:rsidRPr="00C51AA0">
        <w:t xml:space="preserve"> </w:t>
      </w:r>
      <w:r w:rsidR="00D82209" w:rsidRPr="00D82209">
        <w:rPr>
          <w:rFonts w:ascii="Times New Roman" w:hAnsi="Times New Roman" w:cs="Times New Roman"/>
          <w:i/>
          <w:sz w:val="18"/>
          <w:szCs w:val="10"/>
          <w:lang w:bidi="fa-IR"/>
        </w:rPr>
        <w:t>Faculty of Economics and Political Science, Shahid Beheshti University, Tehran, Iran</w:t>
      </w:r>
    </w:p>
    <w:p w14:paraId="327086FC" w14:textId="319ACB99" w:rsidR="00D82209" w:rsidRPr="00102545" w:rsidRDefault="00D82209" w:rsidP="00102545">
      <w:pPr>
        <w:spacing w:after="0" w:line="240" w:lineRule="auto"/>
        <w:rPr>
          <w:rtl/>
        </w:rPr>
      </w:pPr>
    </w:p>
    <w:tbl>
      <w:tblPr>
        <w:tblStyle w:val="PlainTable2"/>
        <w:tblW w:w="5000" w:type="pct"/>
        <w:tblLook w:val="04A0" w:firstRow="1" w:lastRow="0" w:firstColumn="1" w:lastColumn="0" w:noHBand="0" w:noVBand="1"/>
      </w:tblPr>
      <w:tblGrid>
        <w:gridCol w:w="2549"/>
        <w:gridCol w:w="1939"/>
        <w:gridCol w:w="2206"/>
      </w:tblGrid>
      <w:tr w:rsidR="003911CF" w:rsidRPr="00AB3D2D" w14:paraId="6423CADF" w14:textId="77777777" w:rsidTr="004250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pct"/>
            <w:tcBorders>
              <w:right w:val="single" w:sz="48" w:space="0" w:color="FFFFFF" w:themeColor="background1"/>
            </w:tcBorders>
          </w:tcPr>
          <w:p w14:paraId="4ACDB702" w14:textId="77777777" w:rsidR="003911CF" w:rsidRPr="00AB3D2D" w:rsidRDefault="003911CF" w:rsidP="00425028">
            <w:pPr>
              <w:jc w:val="both"/>
              <w:rPr>
                <w:rFonts w:ascii="Times New Roman" w:hAnsi="Times New Roman" w:cs="Times New Roman"/>
                <w:szCs w:val="14"/>
                <w:rtl/>
              </w:rPr>
            </w:pPr>
            <w:r w:rsidRPr="00AB3D2D">
              <w:rPr>
                <w:rFonts w:ascii="Times New Roman" w:hAnsi="Times New Roman" w:cs="Times New Roman"/>
                <w:szCs w:val="14"/>
              </w:rPr>
              <w:t>ARTICLE HISTORY</w:t>
            </w:r>
          </w:p>
        </w:tc>
        <w:tc>
          <w:tcPr>
            <w:tcW w:w="1193" w:type="pct"/>
            <w:tcBorders>
              <w:right w:val="single" w:sz="48" w:space="0" w:color="FFFFFF" w:themeColor="background1"/>
            </w:tcBorders>
          </w:tcPr>
          <w:p w14:paraId="50F29520" w14:textId="77777777" w:rsidR="003911CF" w:rsidRPr="00AB3D2D" w:rsidRDefault="003911CF" w:rsidP="0042502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rtl/>
              </w:rPr>
            </w:pPr>
            <w:r w:rsidRPr="00AB3D2D">
              <w:rPr>
                <w:rFonts w:ascii="Times New Roman" w:hAnsi="Times New Roman" w:cs="Times New Roman"/>
                <w:iCs/>
              </w:rPr>
              <w:t>JEL CLASSIFICATION</w:t>
            </w:r>
          </w:p>
        </w:tc>
        <w:tc>
          <w:tcPr>
            <w:tcW w:w="1775" w:type="pct"/>
            <w:tcBorders>
              <w:right w:val="single" w:sz="48" w:space="0" w:color="FFFFFF" w:themeColor="background1"/>
            </w:tcBorders>
          </w:tcPr>
          <w:p w14:paraId="054FDED2" w14:textId="77777777" w:rsidR="003911CF" w:rsidRPr="00AB3D2D" w:rsidRDefault="003911CF" w:rsidP="0042502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rPr>
            </w:pPr>
            <w:r w:rsidRPr="00AB3D2D">
              <w:rPr>
                <w:rFonts w:ascii="Times New Roman" w:hAnsi="Times New Roman" w:cs="Times New Roman"/>
                <w:iCs/>
              </w:rPr>
              <w:t>KEYWORDS</w:t>
            </w:r>
          </w:p>
        </w:tc>
      </w:tr>
      <w:tr w:rsidR="003911CF" w:rsidRPr="00AB3D2D" w14:paraId="6AF9B98E" w14:textId="77777777" w:rsidTr="00425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pct"/>
            <w:tcBorders>
              <w:right w:val="single" w:sz="48" w:space="0" w:color="FFFFFF" w:themeColor="background1"/>
            </w:tcBorders>
          </w:tcPr>
          <w:p w14:paraId="788897E2" w14:textId="77777777" w:rsidR="00DD14E1" w:rsidRDefault="003911CF" w:rsidP="00425028">
            <w:pPr>
              <w:jc w:val="both"/>
              <w:rPr>
                <w:rFonts w:ascii="Times New Roman" w:hAnsi="Times New Roman" w:cs="Times New Roman"/>
                <w:b w:val="0"/>
                <w:bCs w:val="0"/>
                <w:i/>
                <w:iCs/>
                <w:sz w:val="18"/>
                <w:szCs w:val="14"/>
                <w:lang w:val="en"/>
              </w:rPr>
            </w:pPr>
            <w:r w:rsidRPr="00AB3D2D">
              <w:rPr>
                <w:rFonts w:ascii="Times New Roman" w:hAnsi="Times New Roman" w:cs="Times New Roman"/>
                <w:i/>
                <w:iCs/>
                <w:sz w:val="18"/>
                <w:szCs w:val="14"/>
                <w:lang w:val="en"/>
              </w:rPr>
              <w:t xml:space="preserve">Received: </w:t>
            </w:r>
            <w:r w:rsidR="00DD14E1" w:rsidRPr="00DD14E1">
              <w:rPr>
                <w:rFonts w:ascii="Times New Roman" w:hAnsi="Times New Roman" w:cs="Times New Roman"/>
                <w:i/>
                <w:iCs/>
                <w:sz w:val="18"/>
                <w:szCs w:val="14"/>
                <w:lang w:val="en"/>
              </w:rPr>
              <w:t>02 January 2024</w:t>
            </w:r>
          </w:p>
          <w:p w14:paraId="1BBFE5D3" w14:textId="40B4F0D9" w:rsidR="003911CF" w:rsidRPr="00AB3D2D" w:rsidRDefault="003911CF" w:rsidP="00425028">
            <w:pPr>
              <w:jc w:val="both"/>
              <w:rPr>
                <w:rFonts w:ascii="Times New Roman" w:hAnsi="Times New Roman" w:cs="Times New Roman"/>
                <w:i/>
                <w:iCs/>
                <w:sz w:val="18"/>
                <w:szCs w:val="14"/>
                <w:lang w:val="en"/>
              </w:rPr>
            </w:pPr>
            <w:r w:rsidRPr="00AB3D2D">
              <w:rPr>
                <w:rFonts w:ascii="Times New Roman" w:hAnsi="Times New Roman" w:cs="Times New Roman"/>
                <w:i/>
                <w:iCs/>
                <w:sz w:val="18"/>
                <w:szCs w:val="14"/>
                <w:lang w:val="en"/>
              </w:rPr>
              <w:t xml:space="preserve">revision: </w:t>
            </w:r>
            <w:r w:rsidR="00DD14E1" w:rsidRPr="00DD14E1">
              <w:rPr>
                <w:rFonts w:ascii="Times New Roman" w:hAnsi="Times New Roman" w:cs="Times New Roman"/>
                <w:i/>
                <w:iCs/>
                <w:sz w:val="18"/>
                <w:szCs w:val="14"/>
                <w:lang w:val="en"/>
              </w:rPr>
              <w:t>19 February 2024</w:t>
            </w:r>
          </w:p>
          <w:p w14:paraId="63AB05C4" w14:textId="148A6E8D" w:rsidR="003911CF" w:rsidRPr="00DD14E1" w:rsidRDefault="003911CF" w:rsidP="00DD14E1">
            <w:pPr>
              <w:jc w:val="both"/>
              <w:rPr>
                <w:rFonts w:ascii="Times New Roman" w:hAnsi="Times New Roman" w:cs="Times New Roman"/>
                <w:i/>
                <w:iCs/>
                <w:sz w:val="18"/>
                <w:szCs w:val="14"/>
                <w:rtl/>
                <w:lang w:val="en"/>
              </w:rPr>
            </w:pPr>
            <w:r w:rsidRPr="00AB3D2D">
              <w:rPr>
                <w:rFonts w:ascii="Times New Roman" w:hAnsi="Times New Roman" w:cs="Times New Roman"/>
                <w:i/>
                <w:iCs/>
                <w:sz w:val="18"/>
                <w:szCs w:val="14"/>
                <w:lang w:val="en"/>
              </w:rPr>
              <w:t xml:space="preserve">acceptance: </w:t>
            </w:r>
            <w:r w:rsidR="00DD14E1" w:rsidRPr="00DD14E1">
              <w:rPr>
                <w:rFonts w:ascii="Times New Roman" w:hAnsi="Times New Roman" w:cs="Times New Roman"/>
                <w:i/>
                <w:iCs/>
                <w:sz w:val="18"/>
                <w:szCs w:val="14"/>
                <w:lang w:val="en"/>
              </w:rPr>
              <w:t>26 April 2024</w:t>
            </w:r>
          </w:p>
        </w:tc>
        <w:tc>
          <w:tcPr>
            <w:tcW w:w="1193" w:type="pct"/>
            <w:tcBorders>
              <w:right w:val="single" w:sz="48" w:space="0" w:color="FFFFFF" w:themeColor="background1"/>
            </w:tcBorders>
          </w:tcPr>
          <w:p w14:paraId="33090C11" w14:textId="3E09E169" w:rsidR="003911CF" w:rsidRPr="00AB3D2D" w:rsidRDefault="00DD14E1" w:rsidP="0042502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18"/>
                <w:szCs w:val="14"/>
                <w:rtl/>
                <w:lang w:val="en"/>
              </w:rPr>
            </w:pPr>
            <w:r w:rsidRPr="00AF57E8">
              <w:rPr>
                <w:b/>
                <w:bCs/>
                <w:i/>
                <w:iCs/>
                <w:sz w:val="16"/>
                <w:szCs w:val="16"/>
              </w:rPr>
              <w:t>C22</w:t>
            </w:r>
            <w:r w:rsidRPr="00AF57E8">
              <w:rPr>
                <w:b/>
                <w:bCs/>
                <w:i/>
                <w:iCs/>
                <w:sz w:val="16"/>
                <w:szCs w:val="16"/>
                <w:rtl/>
              </w:rPr>
              <w:t>،</w:t>
            </w:r>
            <w:r w:rsidRPr="00AF57E8">
              <w:rPr>
                <w:b/>
                <w:bCs/>
                <w:i/>
                <w:iCs/>
                <w:sz w:val="16"/>
                <w:szCs w:val="16"/>
              </w:rPr>
              <w:t>E31</w:t>
            </w:r>
            <w:r w:rsidRPr="00AF57E8">
              <w:rPr>
                <w:b/>
                <w:bCs/>
                <w:i/>
                <w:iCs/>
                <w:sz w:val="16"/>
                <w:szCs w:val="16"/>
                <w:rtl/>
              </w:rPr>
              <w:t xml:space="preserve">، </w:t>
            </w:r>
            <w:r w:rsidRPr="00AF57E8">
              <w:rPr>
                <w:b/>
                <w:bCs/>
                <w:i/>
                <w:iCs/>
                <w:sz w:val="16"/>
                <w:szCs w:val="16"/>
              </w:rPr>
              <w:t>P24</w:t>
            </w:r>
          </w:p>
        </w:tc>
        <w:tc>
          <w:tcPr>
            <w:tcW w:w="1775" w:type="pct"/>
            <w:tcBorders>
              <w:right w:val="single" w:sz="48" w:space="0" w:color="FFFFFF" w:themeColor="background1"/>
            </w:tcBorders>
          </w:tcPr>
          <w:p w14:paraId="7D20B62C" w14:textId="41511E6D" w:rsidR="003911CF" w:rsidRPr="00AB3D2D" w:rsidRDefault="00F55E06" w:rsidP="00DD14E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sz w:val="18"/>
                <w:szCs w:val="14"/>
                <w:rtl/>
              </w:rPr>
            </w:pPr>
            <w:r>
              <w:rPr>
                <w:rFonts w:ascii="Times New Roman" w:hAnsi="Times New Roman" w:cs="Times New Roman"/>
                <w:b/>
                <w:bCs/>
                <w:i/>
                <w:sz w:val="18"/>
                <w:szCs w:val="14"/>
              </w:rPr>
              <w:t>E</w:t>
            </w:r>
            <w:r w:rsidRPr="00F55E06">
              <w:rPr>
                <w:rFonts w:ascii="Times New Roman" w:hAnsi="Times New Roman" w:cs="Times New Roman"/>
                <w:b/>
                <w:bCs/>
                <w:i/>
                <w:sz w:val="18"/>
                <w:szCs w:val="14"/>
              </w:rPr>
              <w:t>xchange rate fluctuations,</w:t>
            </w:r>
            <w:r w:rsidR="00DD14E1">
              <w:rPr>
                <w:rFonts w:ascii="Times New Roman" w:hAnsi="Times New Roman" w:cs="Times New Roman"/>
                <w:b/>
                <w:bCs/>
                <w:i/>
                <w:sz w:val="18"/>
                <w:szCs w:val="14"/>
              </w:rPr>
              <w:t xml:space="preserve"> </w:t>
            </w:r>
            <w:r>
              <w:rPr>
                <w:rFonts w:ascii="Times New Roman" w:hAnsi="Times New Roman" w:cs="Times New Roman"/>
                <w:b/>
                <w:bCs/>
                <w:i/>
                <w:sz w:val="18"/>
                <w:szCs w:val="14"/>
              </w:rPr>
              <w:t>C</w:t>
            </w:r>
            <w:r w:rsidRPr="00F55E06">
              <w:rPr>
                <w:rFonts w:ascii="Times New Roman" w:hAnsi="Times New Roman" w:cs="Times New Roman"/>
                <w:b/>
                <w:bCs/>
                <w:i/>
                <w:sz w:val="18"/>
                <w:szCs w:val="14"/>
              </w:rPr>
              <w:t>ore inflation,</w:t>
            </w:r>
            <w:r w:rsidR="00DD14E1">
              <w:rPr>
                <w:rFonts w:ascii="Times New Roman" w:hAnsi="Times New Roman" w:cs="Times New Roman"/>
                <w:b/>
                <w:bCs/>
                <w:i/>
                <w:sz w:val="18"/>
                <w:szCs w:val="14"/>
              </w:rPr>
              <w:t xml:space="preserve"> </w:t>
            </w:r>
            <w:r w:rsidRPr="00F55E06">
              <w:rPr>
                <w:rFonts w:ascii="Times New Roman" w:hAnsi="Times New Roman" w:cs="Times New Roman"/>
                <w:b/>
                <w:bCs/>
                <w:i/>
                <w:sz w:val="18"/>
                <w:szCs w:val="14"/>
              </w:rPr>
              <w:t>Mandel-Fleming stochastic model,</w:t>
            </w:r>
            <w:r w:rsidR="00DD14E1">
              <w:rPr>
                <w:rFonts w:ascii="Times New Roman" w:hAnsi="Times New Roman" w:cs="Times New Roman"/>
                <w:b/>
                <w:bCs/>
                <w:i/>
                <w:sz w:val="18"/>
                <w:szCs w:val="14"/>
              </w:rPr>
              <w:t xml:space="preserve"> </w:t>
            </w:r>
            <w:r w:rsidRPr="00F55E06">
              <w:rPr>
                <w:rFonts w:ascii="Times New Roman" w:hAnsi="Times New Roman" w:cs="Times New Roman"/>
                <w:b/>
                <w:bCs/>
                <w:i/>
                <w:sz w:val="18"/>
                <w:szCs w:val="14"/>
              </w:rPr>
              <w:t>Granger causality</w:t>
            </w:r>
            <w:r>
              <w:rPr>
                <w:rFonts w:ascii="Times New Roman" w:hAnsi="Times New Roman" w:cs="Times New Roman"/>
                <w:b/>
                <w:bCs/>
                <w:i/>
                <w:sz w:val="18"/>
                <w:szCs w:val="14"/>
              </w:rPr>
              <w:t>,</w:t>
            </w:r>
            <w:r w:rsidR="00DD14E1">
              <w:rPr>
                <w:rFonts w:ascii="Times New Roman" w:hAnsi="Times New Roman" w:cs="Times New Roman"/>
                <w:b/>
                <w:bCs/>
                <w:i/>
                <w:sz w:val="18"/>
                <w:szCs w:val="14"/>
              </w:rPr>
              <w:t xml:space="preserve"> </w:t>
            </w:r>
            <w:r w:rsidRPr="00F55E06">
              <w:rPr>
                <w:rFonts w:ascii="Times New Roman" w:hAnsi="Times New Roman" w:cs="Times New Roman"/>
                <w:b/>
                <w:bCs/>
                <w:i/>
                <w:sz w:val="18"/>
                <w:szCs w:val="14"/>
              </w:rPr>
              <w:t>ARDL.</w:t>
            </w:r>
          </w:p>
        </w:tc>
      </w:tr>
    </w:tbl>
    <w:p w14:paraId="09507B4B" w14:textId="77777777" w:rsidR="003911CF" w:rsidRDefault="003911CF" w:rsidP="003911CF">
      <w:pPr>
        <w:spacing w:after="0" w:line="240" w:lineRule="auto"/>
        <w:jc w:val="both"/>
        <w:rPr>
          <w:rFonts w:ascii="Times New Roman" w:eastAsia="Times New Roman" w:hAnsi="Times New Roman"/>
          <w:iCs/>
          <w:szCs w:val="16"/>
          <w:rtl/>
          <w:lang w:bidi="fa-IR"/>
        </w:rPr>
      </w:pPr>
    </w:p>
    <w:p w14:paraId="650BA187" w14:textId="77777777" w:rsidR="003911CF" w:rsidRDefault="003911CF" w:rsidP="003911CF">
      <w:pPr>
        <w:spacing w:after="0" w:line="240" w:lineRule="auto"/>
        <w:jc w:val="both"/>
        <w:rPr>
          <w:rFonts w:ascii="Times New Roman" w:hAnsi="Times New Roman" w:cs="Times New Roman"/>
          <w:szCs w:val="16"/>
        </w:rPr>
      </w:pPr>
      <w:bookmarkStart w:id="0" w:name="_Hlk86075711"/>
    </w:p>
    <w:p w14:paraId="0A40B22E" w14:textId="0CB0D121" w:rsidR="003911CF" w:rsidRPr="00E81FEF" w:rsidRDefault="00DD14E1" w:rsidP="003911CF">
      <w:pPr>
        <w:spacing w:after="0" w:line="240" w:lineRule="auto"/>
        <w:jc w:val="both"/>
        <w:rPr>
          <w:rFonts w:ascii="Times New Roman" w:hAnsi="Times New Roman" w:cs="Times New Roman"/>
          <w:szCs w:val="16"/>
        </w:rPr>
      </w:pPr>
      <w:r w:rsidRPr="00E81FEF">
        <w:rPr>
          <w:rFonts w:ascii="Times New Roman" w:hAnsi="Times New Roman" w:cs="Times New Roman"/>
          <w:b/>
          <w:bCs/>
          <w:szCs w:val="16"/>
        </w:rPr>
        <w:lastRenderedPageBreak/>
        <w:t>Acknowledgments</w:t>
      </w:r>
      <w:r w:rsidR="003911CF" w:rsidRPr="00E81FEF">
        <w:rPr>
          <w:rFonts w:ascii="Times New Roman" w:hAnsi="Times New Roman" w:cs="Times New Roman"/>
          <w:szCs w:val="16"/>
        </w:rPr>
        <w:t>: Acknowledgments may be made to individuals or institutions that have made an important contribution.</w:t>
      </w:r>
    </w:p>
    <w:p w14:paraId="6F00507F" w14:textId="0760D406" w:rsidR="003911CF" w:rsidRPr="00E81FEF" w:rsidRDefault="00DD14E1" w:rsidP="003911CF">
      <w:pPr>
        <w:spacing w:after="0" w:line="240" w:lineRule="auto"/>
        <w:jc w:val="both"/>
        <w:rPr>
          <w:rFonts w:ascii="Times New Roman" w:hAnsi="Times New Roman" w:cs="Times New Roman"/>
          <w:szCs w:val="16"/>
        </w:rPr>
      </w:pPr>
      <w:r w:rsidRPr="00E81FEF">
        <w:rPr>
          <w:rFonts w:ascii="Times New Roman" w:hAnsi="Times New Roman" w:cs="Times New Roman"/>
          <w:b/>
          <w:bCs/>
          <w:szCs w:val="16"/>
        </w:rPr>
        <w:t xml:space="preserve">Conflict </w:t>
      </w:r>
      <w:r>
        <w:rPr>
          <w:rFonts w:ascii="Times New Roman" w:hAnsi="Times New Roman" w:cs="Times New Roman"/>
          <w:b/>
          <w:bCs/>
          <w:szCs w:val="16"/>
        </w:rPr>
        <w:t>o</w:t>
      </w:r>
      <w:r w:rsidRPr="00E81FEF">
        <w:rPr>
          <w:rFonts w:ascii="Times New Roman" w:hAnsi="Times New Roman" w:cs="Times New Roman"/>
          <w:b/>
          <w:bCs/>
          <w:szCs w:val="16"/>
        </w:rPr>
        <w:t>f Interest</w:t>
      </w:r>
      <w:r w:rsidR="003911CF" w:rsidRPr="00E81FEF">
        <w:rPr>
          <w:rFonts w:ascii="Times New Roman" w:hAnsi="Times New Roman" w:cs="Times New Roman"/>
          <w:szCs w:val="16"/>
        </w:rPr>
        <w:t>: The authors declare no conflict of interest.</w:t>
      </w:r>
    </w:p>
    <w:p w14:paraId="7A1D0468" w14:textId="64FE42BB" w:rsidR="003911CF" w:rsidRDefault="00DD14E1" w:rsidP="003911CF">
      <w:pPr>
        <w:spacing w:after="0" w:line="240" w:lineRule="auto"/>
        <w:jc w:val="both"/>
        <w:rPr>
          <w:rFonts w:ascii="Times New Roman" w:hAnsi="Times New Roman" w:cs="Times New Roman"/>
          <w:szCs w:val="16"/>
        </w:rPr>
      </w:pPr>
      <w:r w:rsidRPr="00E81FEF">
        <w:rPr>
          <w:rFonts w:ascii="Times New Roman" w:hAnsi="Times New Roman" w:cs="Times New Roman"/>
          <w:b/>
          <w:bCs/>
          <w:szCs w:val="16"/>
        </w:rPr>
        <w:t>Funding</w:t>
      </w:r>
      <w:r w:rsidR="003911CF" w:rsidRPr="00E81FEF">
        <w:rPr>
          <w:rFonts w:ascii="Times New Roman" w:hAnsi="Times New Roman" w:cs="Times New Roman"/>
          <w:szCs w:val="16"/>
        </w:rPr>
        <w:t>: The authors received no financial support for the research, authorship, and publication of this article.</w:t>
      </w:r>
    </w:p>
    <w:bookmarkEnd w:id="0"/>
    <w:p w14:paraId="1875A121" w14:textId="77777777" w:rsidR="003911CF" w:rsidRPr="00033370" w:rsidRDefault="003911CF" w:rsidP="003911CF">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680"/>
          <w:tab w:val="right" w:pos="9360"/>
        </w:tabs>
        <w:spacing w:after="0" w:line="240" w:lineRule="auto"/>
        <w:jc w:val="both"/>
        <w:rPr>
          <w:rFonts w:ascii="Times New Roman" w:hAnsi="Times New Roman" w:cs="Times New Roman"/>
          <w:b/>
          <w:bCs/>
          <w:sz w:val="18"/>
          <w:szCs w:val="18"/>
          <w:lang w:bidi="fa-IR"/>
        </w:rPr>
      </w:pPr>
      <w:r w:rsidRPr="00033370">
        <w:rPr>
          <w:rFonts w:ascii="Times New Roman" w:hAnsi="Times New Roman" w:cs="Times New Roman"/>
          <w:b/>
          <w:bCs/>
          <w:sz w:val="18"/>
          <w:szCs w:val="18"/>
          <w:lang w:bidi="fa-IR"/>
        </w:rPr>
        <w:t>How to Cite:</w:t>
      </w:r>
    </w:p>
    <w:p w14:paraId="73B320AA" w14:textId="7DAE3310" w:rsidR="003911CF" w:rsidRPr="00A97DA9" w:rsidRDefault="00FF34B6" w:rsidP="003911CF">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4680"/>
          <w:tab w:val="right" w:pos="9360"/>
        </w:tabs>
        <w:spacing w:after="0" w:line="240" w:lineRule="auto"/>
        <w:jc w:val="both"/>
        <w:rPr>
          <w:rFonts w:ascii="Times New Roman" w:hAnsi="Times New Roman" w:cs="Times New Roman"/>
          <w:sz w:val="18"/>
          <w:szCs w:val="18"/>
          <w:rtl/>
          <w:lang w:bidi="fa-IR"/>
        </w:rPr>
      </w:pPr>
      <w:proofErr w:type="spellStart"/>
      <w:r w:rsidRPr="00FF34B6">
        <w:rPr>
          <w:rFonts w:ascii="Times New Roman" w:hAnsi="Times New Roman" w:cs="Times New Roman"/>
          <w:sz w:val="18"/>
          <w:szCs w:val="18"/>
          <w:lang w:bidi="fa-IR"/>
        </w:rPr>
        <w:t>Pirpour</w:t>
      </w:r>
      <w:proofErr w:type="spellEnd"/>
      <w:r w:rsidR="003911CF" w:rsidRPr="00A97DA9">
        <w:rPr>
          <w:rFonts w:ascii="Times New Roman" w:hAnsi="Times New Roman" w:cs="Times New Roman"/>
          <w:sz w:val="18"/>
          <w:szCs w:val="18"/>
          <w:lang w:bidi="fa-IR"/>
        </w:rPr>
        <w:t xml:space="preserve">, </w:t>
      </w:r>
      <w:r w:rsidRPr="00FF34B6">
        <w:rPr>
          <w:rFonts w:ascii="Times New Roman" w:hAnsi="Times New Roman" w:cs="Times New Roman"/>
          <w:sz w:val="18"/>
          <w:szCs w:val="18"/>
          <w:lang w:bidi="fa-IR"/>
        </w:rPr>
        <w:t>Hamed</w:t>
      </w:r>
      <w:r>
        <w:rPr>
          <w:rFonts w:ascii="Times New Roman" w:hAnsi="Times New Roman" w:cs="Times New Roman"/>
          <w:sz w:val="18"/>
          <w:szCs w:val="18"/>
          <w:lang w:bidi="fa-IR"/>
        </w:rPr>
        <w:t xml:space="preserve"> &amp;</w:t>
      </w:r>
      <w:r w:rsidR="003911CF" w:rsidRPr="00A97DA9">
        <w:rPr>
          <w:rFonts w:ascii="Times New Roman" w:hAnsi="Times New Roman" w:cs="Times New Roman"/>
          <w:sz w:val="18"/>
          <w:szCs w:val="18"/>
          <w:lang w:bidi="fa-IR"/>
        </w:rPr>
        <w:t xml:space="preserve"> </w:t>
      </w:r>
      <w:proofErr w:type="spellStart"/>
      <w:r w:rsidRPr="00FF34B6">
        <w:rPr>
          <w:rFonts w:ascii="Times New Roman" w:hAnsi="Times New Roman" w:cs="Times New Roman"/>
          <w:sz w:val="18"/>
          <w:szCs w:val="18"/>
          <w:lang w:bidi="fa-IR"/>
        </w:rPr>
        <w:t>Samsami</w:t>
      </w:r>
      <w:proofErr w:type="spellEnd"/>
      <w:r w:rsidRPr="00FF34B6">
        <w:rPr>
          <w:rFonts w:ascii="Times New Roman" w:hAnsi="Times New Roman" w:cs="Times New Roman"/>
          <w:sz w:val="18"/>
          <w:szCs w:val="18"/>
          <w:lang w:bidi="fa-IR"/>
        </w:rPr>
        <w:t xml:space="preserve"> </w:t>
      </w:r>
      <w:proofErr w:type="spellStart"/>
      <w:r w:rsidRPr="00FF34B6">
        <w:rPr>
          <w:rFonts w:ascii="Times New Roman" w:hAnsi="Times New Roman" w:cs="Times New Roman"/>
          <w:sz w:val="18"/>
          <w:szCs w:val="18"/>
          <w:lang w:bidi="fa-IR"/>
        </w:rPr>
        <w:t>Mazrae</w:t>
      </w:r>
      <w:proofErr w:type="spellEnd"/>
      <w:r w:rsidRPr="00FF34B6">
        <w:rPr>
          <w:rFonts w:ascii="Times New Roman" w:hAnsi="Times New Roman" w:cs="Times New Roman"/>
          <w:sz w:val="18"/>
          <w:szCs w:val="18"/>
          <w:lang w:bidi="fa-IR"/>
        </w:rPr>
        <w:t xml:space="preserve"> Akhund</w:t>
      </w:r>
      <w:r w:rsidR="003911CF" w:rsidRPr="00A97DA9">
        <w:rPr>
          <w:rFonts w:ascii="Times New Roman" w:hAnsi="Times New Roman" w:cs="Times New Roman"/>
          <w:sz w:val="18"/>
          <w:szCs w:val="18"/>
          <w:lang w:bidi="fa-IR"/>
        </w:rPr>
        <w:t xml:space="preserve">, </w:t>
      </w:r>
      <w:r w:rsidRPr="00FF34B6">
        <w:rPr>
          <w:rFonts w:ascii="Times New Roman" w:hAnsi="Times New Roman" w:cs="Times New Roman"/>
          <w:sz w:val="18"/>
          <w:szCs w:val="18"/>
          <w:lang w:bidi="fa-IR"/>
        </w:rPr>
        <w:t>Hossein</w:t>
      </w:r>
      <w:r w:rsidR="003911CF" w:rsidRPr="00A97DA9">
        <w:rPr>
          <w:rFonts w:ascii="Times New Roman" w:hAnsi="Times New Roman" w:cs="Times New Roman"/>
          <w:sz w:val="18"/>
          <w:szCs w:val="18"/>
          <w:lang w:bidi="fa-IR"/>
        </w:rPr>
        <w:t>. (</w:t>
      </w:r>
      <w:r>
        <w:rPr>
          <w:rFonts w:ascii="Times New Roman" w:hAnsi="Times New Roman" w:cs="Times New Roman"/>
          <w:sz w:val="18"/>
          <w:szCs w:val="18"/>
          <w:lang w:bidi="fa-IR"/>
        </w:rPr>
        <w:t>2026</w:t>
      </w:r>
      <w:r w:rsidR="003911CF" w:rsidRPr="00A97DA9">
        <w:rPr>
          <w:rFonts w:ascii="Times New Roman" w:hAnsi="Times New Roman" w:cs="Times New Roman"/>
          <w:sz w:val="18"/>
          <w:szCs w:val="18"/>
          <w:lang w:bidi="fa-IR"/>
        </w:rPr>
        <w:t xml:space="preserve">). </w:t>
      </w:r>
      <w:r w:rsidRPr="00FF34B6">
        <w:rPr>
          <w:rFonts w:ascii="Times New Roman" w:hAnsi="Times New Roman" w:cs="Times New Roman"/>
          <w:sz w:val="18"/>
          <w:szCs w:val="18"/>
          <w:lang w:bidi="fa-IR"/>
        </w:rPr>
        <w:t>Evaluating the impact of exchange rate fluctuations on core inflation using the Mandel-Fleming stochastic model and identifying the mutual relationship between exchange rate fluctuations and inflation deviations in Iran</w:t>
      </w:r>
      <w:r w:rsidR="003911CF" w:rsidRPr="00A97DA9">
        <w:rPr>
          <w:rFonts w:ascii="Times New Roman" w:hAnsi="Times New Roman" w:cs="Times New Roman"/>
          <w:sz w:val="18"/>
          <w:szCs w:val="18"/>
          <w:lang w:bidi="fa-IR"/>
        </w:rPr>
        <w:t xml:space="preserve">. </w:t>
      </w:r>
      <w:r w:rsidR="004C29FF">
        <w:rPr>
          <w:rFonts w:ascii="Times New Roman" w:hAnsi="Times New Roman" w:cs="Times New Roman"/>
          <w:i/>
          <w:iCs/>
          <w:sz w:val="18"/>
          <w:szCs w:val="18"/>
          <w:lang w:bidi="fa-IR"/>
        </w:rPr>
        <w:t>Quarterly Journal of Quantitative Economics (former Economics Studies)</w:t>
      </w:r>
      <w:r w:rsidR="004C29FF" w:rsidRPr="00A97DA9">
        <w:rPr>
          <w:rFonts w:ascii="Times New Roman" w:hAnsi="Times New Roman" w:cs="Times New Roman"/>
          <w:sz w:val="18"/>
          <w:szCs w:val="18"/>
          <w:lang w:bidi="fa-IR"/>
        </w:rPr>
        <w:t xml:space="preserve">, </w:t>
      </w:r>
      <w:r w:rsidR="004C29FF">
        <w:rPr>
          <w:rFonts w:ascii="Times New Roman" w:hAnsi="Times New Roman" w:cs="Times New Roman"/>
          <w:sz w:val="18"/>
          <w:szCs w:val="18"/>
          <w:lang w:bidi="fa-IR"/>
        </w:rPr>
        <w:t>23</w:t>
      </w:r>
      <w:r w:rsidR="004C29FF" w:rsidRPr="00A97DA9">
        <w:rPr>
          <w:rFonts w:ascii="Times New Roman" w:hAnsi="Times New Roman" w:cs="Times New Roman"/>
          <w:sz w:val="18"/>
          <w:szCs w:val="18"/>
          <w:lang w:bidi="fa-IR"/>
        </w:rPr>
        <w:t xml:space="preserve"> (</w:t>
      </w:r>
      <w:r w:rsidR="004C29FF">
        <w:rPr>
          <w:rFonts w:ascii="Times New Roman" w:hAnsi="Times New Roman" w:cs="Times New Roman"/>
          <w:sz w:val="18"/>
          <w:szCs w:val="18"/>
          <w:lang w:bidi="fa-IR"/>
        </w:rPr>
        <w:t>1</w:t>
      </w:r>
      <w:r w:rsidR="004C29FF" w:rsidRPr="00A97DA9">
        <w:rPr>
          <w:rFonts w:ascii="Times New Roman" w:hAnsi="Times New Roman" w:cs="Times New Roman"/>
          <w:sz w:val="18"/>
          <w:szCs w:val="18"/>
          <w:lang w:bidi="fa-IR"/>
        </w:rPr>
        <w:t xml:space="preserve">), </w:t>
      </w:r>
      <w:r w:rsidR="00647FD7">
        <w:rPr>
          <w:rFonts w:ascii="Times New Roman" w:hAnsi="Times New Roman" w:cs="Times New Roman"/>
          <w:sz w:val="18"/>
          <w:szCs w:val="18"/>
          <w:lang w:bidi="fa-IR"/>
        </w:rPr>
        <w:t>133</w:t>
      </w:r>
      <w:r>
        <w:rPr>
          <w:rFonts w:ascii="Times New Roman" w:hAnsi="Times New Roman" w:cs="Times New Roman"/>
          <w:sz w:val="18"/>
          <w:szCs w:val="18"/>
          <w:lang w:bidi="fa-IR"/>
        </w:rPr>
        <w:t>-</w:t>
      </w:r>
      <w:r w:rsidR="00647FD7">
        <w:rPr>
          <w:rFonts w:ascii="Times New Roman" w:hAnsi="Times New Roman" w:cs="Times New Roman"/>
          <w:sz w:val="18"/>
          <w:szCs w:val="18"/>
          <w:lang w:bidi="fa-IR"/>
        </w:rPr>
        <w:t>170</w:t>
      </w:r>
      <w:r w:rsidR="003911CF" w:rsidRPr="00A97DA9">
        <w:rPr>
          <w:rFonts w:ascii="Times New Roman" w:hAnsi="Times New Roman" w:cs="Times New Roman"/>
          <w:sz w:val="18"/>
          <w:szCs w:val="18"/>
          <w:lang w:bidi="fa-IR"/>
        </w:rPr>
        <w:t>.</w:t>
      </w:r>
    </w:p>
    <w:p w14:paraId="4744FC47" w14:textId="3E6FEA76" w:rsidR="00FE3E7A" w:rsidRDefault="003911CF" w:rsidP="00DD14E1">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Cs w:val="16"/>
          <w:lang w:bidi="fa-IR"/>
        </w:rPr>
      </w:pPr>
      <w:r w:rsidRPr="00033370">
        <w:rPr>
          <w:rFonts w:ascii="Times New Roman" w:hAnsi="Times New Roman" w:cs="Times New Roman"/>
          <w:noProof/>
          <w:sz w:val="18"/>
          <w:szCs w:val="18"/>
        </w:rPr>
        <w:drawing>
          <wp:inline distT="0" distB="0" distL="0" distR="0" wp14:anchorId="1849F5C7" wp14:editId="68669BD2">
            <wp:extent cx="144000" cy="144000"/>
            <wp:effectExtent l="0" t="0" r="8890" b="8890"/>
            <wp:docPr id="5" name="Picture 5" descr="Digital object identifi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descr="Digital object identifier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hyperlink r:id="rId13" w:tgtFrame="_blank" w:history="1">
        <w:r w:rsidR="00DD14E1" w:rsidRPr="00AD4C70">
          <w:rPr>
            <w:rStyle w:val="Hyperlink"/>
            <w:b/>
            <w:bCs/>
            <w:sz w:val="18"/>
            <w:szCs w:val="18"/>
          </w:rPr>
          <w:t>10.22055/jqe.2024.45713.2599</w:t>
        </w:r>
      </w:hyperlink>
    </w:p>
    <w:p w14:paraId="64C9FEBF" w14:textId="77777777" w:rsidR="00DD14E1" w:rsidRDefault="00DD14E1" w:rsidP="00CD7382">
      <w:pPr>
        <w:rPr>
          <w:rFonts w:ascii="Times New Roman" w:hAnsi="Times New Roman" w:cs="Times New Roman"/>
          <w:b/>
          <w:bCs/>
          <w:lang w:bidi="fa-IR"/>
        </w:rPr>
      </w:pPr>
    </w:p>
    <w:p w14:paraId="5C3E296E" w14:textId="584B88BF" w:rsidR="003911CF" w:rsidRPr="00CD7382" w:rsidRDefault="00CD7382" w:rsidP="00CD7382">
      <w:pPr>
        <w:rPr>
          <w:rFonts w:ascii="Times New Roman" w:hAnsi="Times New Roman" w:cs="Times New Roman"/>
          <w:b/>
          <w:bCs/>
          <w:lang w:bidi="fa-IR"/>
        </w:rPr>
      </w:pPr>
      <w:r>
        <w:rPr>
          <w:rFonts w:ascii="Times New Roman" w:hAnsi="Times New Roman" w:cs="Times New Roman"/>
          <w:b/>
          <w:bCs/>
          <w:lang w:bidi="fa-IR"/>
        </w:rPr>
        <w:t>EXTENDED ABSTRACT</w:t>
      </w:r>
      <w:r w:rsidR="003911CF" w:rsidRPr="009F74E4">
        <w:rPr>
          <w:rFonts w:ascii="Times New Roman" w:hAnsi="Times New Roman" w:cs="Times New Roman"/>
          <w:color w:val="FF0000"/>
          <w:lang w:bidi="fa-IR"/>
        </w:rPr>
        <w:t xml:space="preserve"> </w:t>
      </w:r>
    </w:p>
    <w:p w14:paraId="57C85373" w14:textId="77777777" w:rsidR="003911CF" w:rsidRPr="00491104" w:rsidRDefault="003911CF" w:rsidP="003911CF">
      <w:pPr>
        <w:pStyle w:val="Default"/>
        <w:rPr>
          <w:sz w:val="22"/>
          <w:szCs w:val="22"/>
        </w:rPr>
      </w:pPr>
      <w:r w:rsidRPr="00491104">
        <w:rPr>
          <w:b/>
          <w:bCs/>
          <w:sz w:val="22"/>
          <w:szCs w:val="22"/>
        </w:rPr>
        <w:t xml:space="preserve">INTRODUCTION </w:t>
      </w:r>
    </w:p>
    <w:p w14:paraId="2DE526DC" w14:textId="2C9B061E" w:rsidR="003911CF" w:rsidRPr="00CD7382" w:rsidRDefault="00CD7382" w:rsidP="00CD7382">
      <w:pPr>
        <w:pStyle w:val="Default"/>
        <w:jc w:val="both"/>
        <w:rPr>
          <w:color w:val="auto"/>
          <w:sz w:val="22"/>
          <w:szCs w:val="22"/>
        </w:rPr>
      </w:pPr>
      <w:r w:rsidRPr="00CD7382">
        <w:rPr>
          <w:color w:val="auto"/>
          <w:sz w:val="22"/>
          <w:szCs w:val="22"/>
        </w:rPr>
        <w:t xml:space="preserve">One of the main problems that Iran's economy has been facing in recent decades, which has caused a decrease in economic security and led cash flow to speculative activities instead of productive economic activities, is the extreme fluctuations in the exchange rate and inflation. In this regard, one of the significant factors in increasing inflation rate fluctuations in recent decades in Iran is exchange rate fluctuations. An increase (decrease) in the exchange rate can increase (decrease) inflation in various ways. An increase in the exchange rate can increase the production cost of products whose raw materials are procured from abroad. It also increases nominal wages and inflation through affecting the expected inflation. On the other hand, inflation causes changes in the exchange rate in two ways. An increase in inflation causes an increase in the price of domestic goods in international and domestic markets, which leads to a decrease in the competitiveness of domestic economic enterprises in international markets. The decrease in the competitiveness of domestic producers causes a decrease in exports, an increase in imports, a decrease in foreign exchange reserves and a decrease in the value of the national currency. Considering the negative effects of exchange rate fluctuations and inflation on the economy due to the mutual effects of exchange rate and inflation on each other, in this study, an attempt has been made to evaluate the mutual effects of exchange rate fluctuations and the deviation of the inflation rate from the core inflation in Iran; Because the existence of exchange rate fluctuations and the deviation of inflation from the  core inflation causes an increase in economic uncertainty and the growth of speculative activities instead of productive activities in the economy. In </w:t>
      </w:r>
      <w:r w:rsidRPr="00CD7382">
        <w:rPr>
          <w:color w:val="auto"/>
          <w:sz w:val="22"/>
          <w:szCs w:val="22"/>
        </w:rPr>
        <w:lastRenderedPageBreak/>
        <w:t>addition, based on Mandel-Fleming's stochastic model, shock and fluctuations can affect some variables in the steady state, the reason for which is the assumption of a stochastic situation in the economy. Considering the effect of nominal variables and their fluctuations in this model, another goal of this study is to evaluate the impact of exchange rate fluctuations on core inflation based on this approach.</w:t>
      </w:r>
      <w:r w:rsidR="003911CF" w:rsidRPr="00CD7382">
        <w:rPr>
          <w:color w:val="auto"/>
          <w:sz w:val="22"/>
          <w:szCs w:val="22"/>
        </w:rPr>
        <w:t xml:space="preserve"> </w:t>
      </w:r>
    </w:p>
    <w:p w14:paraId="68432E55" w14:textId="77777777" w:rsidR="00DD14E1" w:rsidRDefault="00DD14E1" w:rsidP="003911CF">
      <w:pPr>
        <w:pStyle w:val="Default"/>
        <w:rPr>
          <w:b/>
          <w:bCs/>
          <w:sz w:val="22"/>
          <w:szCs w:val="22"/>
        </w:rPr>
      </w:pPr>
    </w:p>
    <w:p w14:paraId="4B109C50" w14:textId="343ECCCA" w:rsidR="003911CF" w:rsidRPr="00491104" w:rsidRDefault="003911CF" w:rsidP="003911CF">
      <w:pPr>
        <w:pStyle w:val="Default"/>
        <w:rPr>
          <w:sz w:val="22"/>
          <w:szCs w:val="22"/>
        </w:rPr>
      </w:pPr>
      <w:r w:rsidRPr="00491104">
        <w:rPr>
          <w:b/>
          <w:bCs/>
          <w:sz w:val="22"/>
          <w:szCs w:val="22"/>
        </w:rPr>
        <w:t xml:space="preserve">METHODOLOGY </w:t>
      </w:r>
    </w:p>
    <w:p w14:paraId="57499376" w14:textId="14B4BDDA" w:rsidR="003911CF" w:rsidRPr="00223EA2" w:rsidRDefault="00223EA2" w:rsidP="003911CF">
      <w:pPr>
        <w:pStyle w:val="Default"/>
        <w:jc w:val="both"/>
        <w:rPr>
          <w:color w:val="auto"/>
          <w:sz w:val="22"/>
          <w:szCs w:val="22"/>
        </w:rPr>
      </w:pPr>
      <w:r w:rsidRPr="00223EA2">
        <w:rPr>
          <w:color w:val="auto"/>
          <w:sz w:val="22"/>
          <w:szCs w:val="22"/>
        </w:rPr>
        <w:t>To investigate the mutual relationship between exchange rate fluctuations and inflationary deviations, the difference between the realized inflation rate and the core inflation is first used to obtain the variable of inflationary deviations. The core inflation values are obtained using the wavelet transforms. Then, exchange rate fluctuations are calculated by the standard deviation of the threshold generalized autoregressive heteroskedasticity variance model (TGARCH). After obtaining the variables mentioned above, the mutual relationship between these variables is evaluated using the Granger causality</w:t>
      </w:r>
      <w:r w:rsidR="00DC178C">
        <w:rPr>
          <w:color w:val="auto"/>
          <w:sz w:val="22"/>
          <w:szCs w:val="22"/>
        </w:rPr>
        <w:t xml:space="preserve"> and the </w:t>
      </w:r>
      <w:r w:rsidR="00DC178C" w:rsidRPr="00DC178C">
        <w:rPr>
          <w:color w:val="auto"/>
          <w:sz w:val="22"/>
          <w:szCs w:val="22"/>
        </w:rPr>
        <w:t>Toda and Yamamoto</w:t>
      </w:r>
      <w:r w:rsidRPr="00223EA2">
        <w:rPr>
          <w:color w:val="auto"/>
          <w:sz w:val="22"/>
          <w:szCs w:val="22"/>
        </w:rPr>
        <w:t xml:space="preserve"> </w:t>
      </w:r>
      <w:r w:rsidR="00DC178C" w:rsidRPr="00223EA2">
        <w:rPr>
          <w:color w:val="auto"/>
          <w:sz w:val="22"/>
          <w:szCs w:val="22"/>
        </w:rPr>
        <w:t>causality</w:t>
      </w:r>
      <w:r w:rsidRPr="00223EA2">
        <w:rPr>
          <w:color w:val="auto"/>
          <w:sz w:val="22"/>
          <w:szCs w:val="22"/>
        </w:rPr>
        <w:t xml:space="preserve"> during the monthly period from May 2004 to February 2023. Also, the impact of exchange rate fluctuations on base inflation is evaluated using a model introduced by the Mandel-Fleming stochastic model and the autoregressive distributed lag (ARDL) method during 1974-2022.</w:t>
      </w:r>
      <w:r w:rsidR="003911CF" w:rsidRPr="00223EA2">
        <w:rPr>
          <w:color w:val="auto"/>
          <w:sz w:val="22"/>
          <w:szCs w:val="22"/>
        </w:rPr>
        <w:t xml:space="preserve"> </w:t>
      </w:r>
    </w:p>
    <w:p w14:paraId="0A8EFC70" w14:textId="77777777" w:rsidR="00DD14E1" w:rsidRDefault="00DD14E1" w:rsidP="003911CF">
      <w:pPr>
        <w:pStyle w:val="Default"/>
        <w:rPr>
          <w:b/>
          <w:bCs/>
          <w:sz w:val="22"/>
          <w:szCs w:val="22"/>
        </w:rPr>
      </w:pPr>
    </w:p>
    <w:p w14:paraId="04534916" w14:textId="7455619F" w:rsidR="003911CF" w:rsidRPr="007A317D" w:rsidRDefault="003911CF" w:rsidP="003911CF">
      <w:pPr>
        <w:pStyle w:val="Default"/>
        <w:rPr>
          <w:sz w:val="23"/>
          <w:szCs w:val="23"/>
        </w:rPr>
      </w:pPr>
      <w:r w:rsidRPr="00491104">
        <w:rPr>
          <w:b/>
          <w:bCs/>
          <w:sz w:val="22"/>
          <w:szCs w:val="22"/>
        </w:rPr>
        <w:t xml:space="preserve">FINDINGS </w:t>
      </w:r>
    </w:p>
    <w:p w14:paraId="59652A68" w14:textId="7DBEBD86" w:rsidR="0002155A" w:rsidRPr="00DD14E1" w:rsidRDefault="009546FC" w:rsidP="00DD14E1">
      <w:pPr>
        <w:pStyle w:val="Default"/>
        <w:jc w:val="both"/>
        <w:rPr>
          <w:color w:val="auto"/>
          <w:sz w:val="22"/>
          <w:szCs w:val="22"/>
        </w:rPr>
      </w:pPr>
      <w:r w:rsidRPr="009546FC">
        <w:rPr>
          <w:color w:val="auto"/>
          <w:sz w:val="22"/>
          <w:szCs w:val="22"/>
        </w:rPr>
        <w:t>After preliminary tests and identifying the appropriate regression model to investigate the mutual relationship between exchange rate fluctuations and inflationary deviations, the mutual effects of these two variables were identified using the Granger causality method, the final result of which is shown in the table below.</w:t>
      </w:r>
    </w:p>
    <w:p w14:paraId="666289ED" w14:textId="77777777" w:rsidR="0002155A" w:rsidRDefault="0002155A" w:rsidP="009546FC">
      <w:pPr>
        <w:spacing w:after="0" w:line="240" w:lineRule="auto"/>
        <w:contextualSpacing/>
        <w:jc w:val="both"/>
        <w:rPr>
          <w:rFonts w:asciiTheme="majorBidi" w:hAnsiTheme="majorBidi" w:cstheme="majorBidi"/>
          <w:b/>
          <w:bCs/>
          <w:iCs/>
          <w:sz w:val="18"/>
          <w:szCs w:val="18"/>
          <w:lang w:bidi="fa-IR"/>
        </w:rPr>
      </w:pPr>
    </w:p>
    <w:p w14:paraId="69301821" w14:textId="799D026A" w:rsidR="003B4653" w:rsidRDefault="003B4653" w:rsidP="0046691B">
      <w:pPr>
        <w:spacing w:after="0" w:line="240" w:lineRule="auto"/>
        <w:contextualSpacing/>
        <w:rPr>
          <w:sz w:val="16"/>
          <w:szCs w:val="16"/>
          <w:lang w:bidi="fa-IR"/>
        </w:rPr>
      </w:pPr>
      <w:r w:rsidRPr="0092221F">
        <w:rPr>
          <w:b/>
          <w:bCs/>
          <w:sz w:val="16"/>
          <w:szCs w:val="16"/>
          <w:lang w:bidi="fa-IR"/>
        </w:rPr>
        <w:t xml:space="preserve">Table </w:t>
      </w:r>
      <w:r w:rsidRPr="0092221F">
        <w:rPr>
          <w:b/>
          <w:bCs/>
          <w:sz w:val="16"/>
          <w:szCs w:val="16"/>
          <w:lang w:bidi="fa-IR"/>
        </w:rPr>
        <w:fldChar w:fldCharType="begin"/>
      </w:r>
      <w:r w:rsidRPr="0092221F">
        <w:rPr>
          <w:b/>
          <w:bCs/>
          <w:sz w:val="16"/>
          <w:szCs w:val="16"/>
          <w:lang w:bidi="fa-IR"/>
        </w:rPr>
        <w:instrText xml:space="preserve"> SEQ Table \* ARABIC </w:instrText>
      </w:r>
      <w:r w:rsidRPr="0092221F">
        <w:rPr>
          <w:b/>
          <w:bCs/>
          <w:sz w:val="16"/>
          <w:szCs w:val="16"/>
          <w:lang w:bidi="fa-IR"/>
        </w:rPr>
        <w:fldChar w:fldCharType="separate"/>
      </w:r>
      <w:r w:rsidR="0030590D">
        <w:rPr>
          <w:b/>
          <w:bCs/>
          <w:noProof/>
          <w:sz w:val="16"/>
          <w:szCs w:val="16"/>
          <w:lang w:bidi="fa-IR"/>
        </w:rPr>
        <w:t>1</w:t>
      </w:r>
      <w:r w:rsidRPr="0092221F">
        <w:rPr>
          <w:b/>
          <w:bCs/>
          <w:sz w:val="16"/>
          <w:szCs w:val="16"/>
          <w:lang w:bidi="fa-IR"/>
        </w:rPr>
        <w:fldChar w:fldCharType="end"/>
      </w:r>
      <w:r w:rsidRPr="0092221F">
        <w:rPr>
          <w:b/>
          <w:bCs/>
          <w:sz w:val="16"/>
          <w:szCs w:val="16"/>
          <w:lang w:bidi="fa-IR"/>
        </w:rPr>
        <w:t>.</w:t>
      </w:r>
      <w:r w:rsidRPr="00CD283E">
        <w:rPr>
          <w:sz w:val="16"/>
          <w:szCs w:val="16"/>
          <w:lang w:bidi="fa-IR"/>
        </w:rPr>
        <w:t>The estimation results of equations (21) and (22)</w:t>
      </w:r>
    </w:p>
    <w:p w14:paraId="751A8626" w14:textId="77777777" w:rsidR="003B4653" w:rsidRPr="007B7146" w:rsidRDefault="003B4653" w:rsidP="003B4653">
      <w:pPr>
        <w:spacing w:after="0" w:line="240" w:lineRule="auto"/>
        <w:contextualSpacing/>
        <w:rPr>
          <w:b/>
          <w:bCs/>
          <w:sz w:val="16"/>
          <w:szCs w:val="16"/>
          <w:rtl/>
          <w:lang w:bidi="fa-IR"/>
        </w:rPr>
      </w:pPr>
      <w:r w:rsidRPr="00091BC7">
        <w:rPr>
          <w:sz w:val="16"/>
          <w:szCs w:val="16"/>
          <w:lang w:bidi="fa-IR"/>
        </w:rPr>
        <w:t>Source: Research results</w:t>
      </w:r>
      <w:r w:rsidRPr="007B7146">
        <w:rPr>
          <w:rFonts w:hint="cs"/>
          <w:b/>
          <w:bCs/>
          <w:sz w:val="16"/>
          <w:szCs w:val="16"/>
          <w:rtl/>
          <w:lang w:bidi="fa-IR"/>
        </w:rPr>
        <w:t xml:space="preserve">  </w:t>
      </w:r>
    </w:p>
    <w:tbl>
      <w:tblPr>
        <w:tblStyle w:val="TableGrid"/>
        <w:bidiVisual/>
        <w:tblW w:w="0" w:type="auto"/>
        <w:tblLook w:val="04A0" w:firstRow="1" w:lastRow="0" w:firstColumn="1" w:lastColumn="0" w:noHBand="0" w:noVBand="1"/>
      </w:tblPr>
      <w:tblGrid>
        <w:gridCol w:w="2264"/>
        <w:gridCol w:w="2221"/>
        <w:gridCol w:w="2259"/>
      </w:tblGrid>
      <w:tr w:rsidR="009546FC" w:rsidRPr="009546FC" w14:paraId="159B8AC8" w14:textId="77777777" w:rsidTr="009546FC">
        <w:tc>
          <w:tcPr>
            <w:tcW w:w="2264" w:type="dxa"/>
          </w:tcPr>
          <w:p w14:paraId="458EC41D" w14:textId="35C8F893" w:rsidR="009546FC" w:rsidRPr="009546FC" w:rsidRDefault="009546FC" w:rsidP="00280C02">
            <w:pPr>
              <w:numPr>
                <w:ilvl w:val="1"/>
                <w:numId w:val="0"/>
              </w:numPr>
              <w:bidi/>
              <w:contextualSpacing/>
              <w:jc w:val="center"/>
              <w:rPr>
                <w:rFonts w:asciiTheme="majorBidi" w:hAnsiTheme="majorBidi" w:cstheme="majorBidi"/>
                <w:b/>
                <w:bCs/>
                <w:iCs/>
                <w:sz w:val="16"/>
                <w:szCs w:val="16"/>
                <w:rtl/>
                <w:lang w:bidi="fa-IR"/>
              </w:rPr>
            </w:pPr>
            <w:r w:rsidRPr="009546FC">
              <w:rPr>
                <w:rFonts w:asciiTheme="majorBidi" w:hAnsiTheme="majorBidi" w:cstheme="majorBidi"/>
                <w:b/>
                <w:bCs/>
                <w:iCs/>
                <w:sz w:val="16"/>
                <w:szCs w:val="16"/>
                <w:lang w:bidi="fa-IR"/>
              </w:rPr>
              <w:t>H0 Hypothesis</w:t>
            </w:r>
          </w:p>
        </w:tc>
        <w:tc>
          <w:tcPr>
            <w:tcW w:w="2221" w:type="dxa"/>
          </w:tcPr>
          <w:p w14:paraId="11066088" w14:textId="2195B0D2" w:rsidR="009546FC" w:rsidRPr="009546FC" w:rsidRDefault="009546FC" w:rsidP="00280C02">
            <w:pPr>
              <w:numPr>
                <w:ilvl w:val="1"/>
                <w:numId w:val="0"/>
              </w:numPr>
              <w:bidi/>
              <w:contextualSpacing/>
              <w:jc w:val="center"/>
              <w:rPr>
                <w:rFonts w:asciiTheme="majorBidi" w:hAnsiTheme="majorBidi" w:cstheme="majorBidi"/>
                <w:b/>
                <w:bCs/>
                <w:iCs/>
                <w:sz w:val="16"/>
                <w:szCs w:val="16"/>
                <w:rtl/>
                <w:lang w:bidi="fa-IR"/>
              </w:rPr>
            </w:pPr>
            <w:r w:rsidRPr="009546FC">
              <w:rPr>
                <w:rFonts w:asciiTheme="majorBidi" w:hAnsiTheme="majorBidi" w:cstheme="majorBidi"/>
                <w:b/>
                <w:bCs/>
                <w:iCs/>
                <w:sz w:val="16"/>
                <w:szCs w:val="16"/>
                <w:lang w:bidi="fa-IR"/>
              </w:rPr>
              <w:t>Test statistics</w:t>
            </w:r>
          </w:p>
        </w:tc>
        <w:tc>
          <w:tcPr>
            <w:tcW w:w="2259" w:type="dxa"/>
          </w:tcPr>
          <w:p w14:paraId="3CB20CA3" w14:textId="3BC65A83" w:rsidR="009546FC" w:rsidRPr="009546FC" w:rsidRDefault="00D04C20" w:rsidP="00280C02">
            <w:pPr>
              <w:numPr>
                <w:ilvl w:val="1"/>
                <w:numId w:val="0"/>
              </w:numPr>
              <w:bidi/>
              <w:contextualSpacing/>
              <w:jc w:val="center"/>
              <w:rPr>
                <w:rFonts w:asciiTheme="majorBidi" w:hAnsiTheme="majorBidi" w:cstheme="majorBidi"/>
                <w:b/>
                <w:bCs/>
                <w:iCs/>
                <w:sz w:val="16"/>
                <w:szCs w:val="16"/>
                <w:rtl/>
                <w:lang w:bidi="fa-IR"/>
              </w:rPr>
            </w:pPr>
            <w:r w:rsidRPr="00D04C20">
              <w:rPr>
                <w:rFonts w:asciiTheme="majorBidi" w:hAnsiTheme="majorBidi" w:cstheme="majorBidi"/>
                <w:b/>
                <w:bCs/>
                <w:iCs/>
                <w:sz w:val="16"/>
                <w:szCs w:val="16"/>
                <w:lang w:bidi="fa-IR"/>
              </w:rPr>
              <w:t>Probability</w:t>
            </w:r>
          </w:p>
        </w:tc>
      </w:tr>
      <w:tr w:rsidR="009546FC" w:rsidRPr="009546FC" w14:paraId="382E7B93" w14:textId="77777777" w:rsidTr="009546FC">
        <w:tc>
          <w:tcPr>
            <w:tcW w:w="2264" w:type="dxa"/>
          </w:tcPr>
          <w:p w14:paraId="0B27CBAA" w14:textId="6EB31AE4" w:rsidR="009546FC" w:rsidRPr="009546FC" w:rsidRDefault="009546FC" w:rsidP="009546FC">
            <w:pPr>
              <w:numPr>
                <w:ilvl w:val="1"/>
                <w:numId w:val="0"/>
              </w:numPr>
              <w:contextualSpacing/>
              <w:jc w:val="center"/>
              <w:rPr>
                <w:rFonts w:asciiTheme="majorBidi" w:hAnsiTheme="majorBidi" w:cstheme="majorBidi"/>
                <w:b/>
                <w:bCs/>
                <w:iCs/>
                <w:sz w:val="16"/>
                <w:szCs w:val="16"/>
                <w:rtl/>
                <w:lang w:bidi="fa-IR"/>
              </w:rPr>
            </w:pPr>
            <w:r w:rsidRPr="009546FC">
              <w:rPr>
                <w:rFonts w:asciiTheme="majorBidi" w:hAnsiTheme="majorBidi" w:cstheme="majorBidi"/>
                <w:iCs/>
                <w:position w:val="-10"/>
                <w:sz w:val="16"/>
                <w:szCs w:val="16"/>
              </w:rPr>
              <w:object w:dxaOrig="300" w:dyaOrig="279" w14:anchorId="44DE0A7C">
                <v:shape id="_x0000_i1028" type="#_x0000_t75" style="width:15pt;height:14.25pt" o:ole="">
                  <v:imagedata r:id="rId14" o:title=""/>
                </v:shape>
                <o:OLEObject Type="Embed" ProgID="Equation.3" ShapeID="_x0000_i1028" DrawAspect="Content" ObjectID="_1843193194" r:id="rId15"/>
              </w:object>
            </w:r>
            <w:r w:rsidRPr="009546FC">
              <w:rPr>
                <w:rFonts w:asciiTheme="majorBidi" w:hAnsiTheme="majorBidi" w:cstheme="majorBidi"/>
                <w:iCs/>
                <w:sz w:val="16"/>
                <w:szCs w:val="16"/>
              </w:rPr>
              <w:t xml:space="preserve"> does not affect </w:t>
            </w:r>
            <w:r w:rsidRPr="009546FC">
              <w:rPr>
                <w:rFonts w:asciiTheme="majorBidi" w:hAnsiTheme="majorBidi" w:cstheme="majorBidi"/>
                <w:iCs/>
                <w:position w:val="-10"/>
                <w:sz w:val="16"/>
                <w:szCs w:val="16"/>
              </w:rPr>
              <w:object w:dxaOrig="499" w:dyaOrig="279" w14:anchorId="39398514">
                <v:shape id="_x0000_i1029" type="#_x0000_t75" style="width:25.5pt;height:14.25pt" o:ole="">
                  <v:imagedata r:id="rId16" o:title=""/>
                </v:shape>
                <o:OLEObject Type="Embed" ProgID="Equation.3" ShapeID="_x0000_i1029" DrawAspect="Content" ObjectID="_1843193195" r:id="rId17"/>
              </w:object>
            </w:r>
          </w:p>
        </w:tc>
        <w:tc>
          <w:tcPr>
            <w:tcW w:w="2221" w:type="dxa"/>
          </w:tcPr>
          <w:p w14:paraId="10BCE44B" w14:textId="0FABA80A" w:rsidR="009546FC" w:rsidRPr="009546FC" w:rsidRDefault="009546FC" w:rsidP="00280C02">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4.24</w:t>
            </w:r>
          </w:p>
        </w:tc>
        <w:tc>
          <w:tcPr>
            <w:tcW w:w="2259" w:type="dxa"/>
          </w:tcPr>
          <w:p w14:paraId="398ED92E" w14:textId="65C6CAF4" w:rsidR="009546FC" w:rsidRPr="009546FC" w:rsidRDefault="009546FC" w:rsidP="00280C02">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0.00</w:t>
            </w:r>
          </w:p>
        </w:tc>
      </w:tr>
      <w:tr w:rsidR="009546FC" w:rsidRPr="00DC178C" w14:paraId="62CB49BB" w14:textId="77777777" w:rsidTr="009546FC">
        <w:tc>
          <w:tcPr>
            <w:tcW w:w="2264" w:type="dxa"/>
          </w:tcPr>
          <w:p w14:paraId="6A478347" w14:textId="46BC1795" w:rsidR="009546FC" w:rsidRPr="009546FC" w:rsidRDefault="009546FC" w:rsidP="009546FC">
            <w:pPr>
              <w:numPr>
                <w:ilvl w:val="1"/>
                <w:numId w:val="0"/>
              </w:numPr>
              <w:contextualSpacing/>
              <w:jc w:val="center"/>
              <w:rPr>
                <w:rFonts w:asciiTheme="majorBidi" w:hAnsiTheme="majorBidi" w:cstheme="majorBidi"/>
                <w:b/>
                <w:bCs/>
                <w:iCs/>
                <w:sz w:val="16"/>
                <w:szCs w:val="16"/>
                <w:rtl/>
                <w:lang w:bidi="fa-IR"/>
              </w:rPr>
            </w:pPr>
            <w:r w:rsidRPr="009546FC">
              <w:rPr>
                <w:rFonts w:asciiTheme="majorBidi" w:hAnsiTheme="majorBidi" w:cstheme="majorBidi"/>
                <w:iCs/>
                <w:position w:val="-10"/>
                <w:sz w:val="16"/>
                <w:szCs w:val="16"/>
              </w:rPr>
              <w:object w:dxaOrig="499" w:dyaOrig="279" w14:anchorId="2673C900">
                <v:shape id="_x0000_i1030" type="#_x0000_t75" style="width:25.5pt;height:14.25pt" o:ole="">
                  <v:imagedata r:id="rId18" o:title=""/>
                </v:shape>
                <o:OLEObject Type="Embed" ProgID="Equation.3" ShapeID="_x0000_i1030" DrawAspect="Content" ObjectID="_1843193196" r:id="rId19"/>
              </w:object>
            </w:r>
            <w:r w:rsidRPr="009546FC">
              <w:rPr>
                <w:rFonts w:asciiTheme="majorBidi" w:hAnsiTheme="majorBidi" w:cstheme="majorBidi"/>
                <w:iCs/>
                <w:sz w:val="16"/>
                <w:szCs w:val="16"/>
              </w:rPr>
              <w:t xml:space="preserve"> does not affect </w:t>
            </w:r>
            <w:r w:rsidRPr="009546FC">
              <w:rPr>
                <w:rFonts w:asciiTheme="majorBidi" w:hAnsiTheme="majorBidi" w:cstheme="majorBidi"/>
                <w:iCs/>
                <w:position w:val="-10"/>
                <w:sz w:val="16"/>
                <w:szCs w:val="16"/>
              </w:rPr>
              <w:object w:dxaOrig="300" w:dyaOrig="279" w14:anchorId="35D1A538">
                <v:shape id="_x0000_i1031" type="#_x0000_t75" style="width:15pt;height:14.25pt" o:ole="">
                  <v:imagedata r:id="rId20" o:title=""/>
                </v:shape>
                <o:OLEObject Type="Embed" ProgID="Equation.3" ShapeID="_x0000_i1031" DrawAspect="Content" ObjectID="_1843193197" r:id="rId21"/>
              </w:object>
            </w:r>
          </w:p>
        </w:tc>
        <w:tc>
          <w:tcPr>
            <w:tcW w:w="2221" w:type="dxa"/>
          </w:tcPr>
          <w:p w14:paraId="54842291" w14:textId="72855CD6" w:rsidR="009546FC" w:rsidRPr="009546FC" w:rsidRDefault="009546FC" w:rsidP="009546FC">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7.35</w:t>
            </w:r>
          </w:p>
        </w:tc>
        <w:tc>
          <w:tcPr>
            <w:tcW w:w="2259" w:type="dxa"/>
          </w:tcPr>
          <w:p w14:paraId="6C2F0477" w14:textId="43933DA2" w:rsidR="009546FC" w:rsidRPr="009546FC" w:rsidRDefault="009546FC" w:rsidP="009546FC">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0.00</w:t>
            </w:r>
          </w:p>
        </w:tc>
      </w:tr>
    </w:tbl>
    <w:p w14:paraId="58A76C69" w14:textId="77777777" w:rsidR="00DD14E1" w:rsidRDefault="00DD14E1" w:rsidP="00DC178C">
      <w:pPr>
        <w:spacing w:after="0" w:line="240" w:lineRule="auto"/>
        <w:contextualSpacing/>
        <w:rPr>
          <w:rFonts w:asciiTheme="majorBidi" w:hAnsiTheme="majorBidi" w:cstheme="majorBidi"/>
          <w:b/>
          <w:bCs/>
          <w:iCs/>
          <w:sz w:val="18"/>
          <w:szCs w:val="18"/>
          <w:lang w:bidi="fa-IR"/>
        </w:rPr>
      </w:pPr>
    </w:p>
    <w:p w14:paraId="78456331" w14:textId="77777777" w:rsidR="00E234D5" w:rsidRDefault="00E234D5" w:rsidP="00DC178C">
      <w:pPr>
        <w:spacing w:after="0" w:line="240" w:lineRule="auto"/>
        <w:contextualSpacing/>
        <w:rPr>
          <w:rFonts w:asciiTheme="majorBidi" w:hAnsiTheme="majorBidi" w:cstheme="majorBidi"/>
          <w:b/>
          <w:bCs/>
          <w:iCs/>
          <w:sz w:val="18"/>
          <w:szCs w:val="18"/>
          <w:lang w:bidi="fa-IR"/>
        </w:rPr>
      </w:pPr>
    </w:p>
    <w:p w14:paraId="78EDCF51" w14:textId="77777777" w:rsidR="00E234D5" w:rsidRDefault="00E234D5" w:rsidP="00DC178C">
      <w:pPr>
        <w:spacing w:after="0" w:line="240" w:lineRule="auto"/>
        <w:contextualSpacing/>
        <w:rPr>
          <w:rFonts w:asciiTheme="majorBidi" w:hAnsiTheme="majorBidi" w:cstheme="majorBidi"/>
          <w:b/>
          <w:bCs/>
          <w:iCs/>
          <w:sz w:val="18"/>
          <w:szCs w:val="18"/>
          <w:lang w:bidi="fa-IR"/>
        </w:rPr>
      </w:pPr>
    </w:p>
    <w:p w14:paraId="25703FE3" w14:textId="77777777" w:rsidR="00E234D5" w:rsidRDefault="00E234D5" w:rsidP="00DC178C">
      <w:pPr>
        <w:spacing w:after="0" w:line="240" w:lineRule="auto"/>
        <w:contextualSpacing/>
        <w:rPr>
          <w:rFonts w:asciiTheme="majorBidi" w:hAnsiTheme="majorBidi" w:cstheme="majorBidi"/>
          <w:b/>
          <w:bCs/>
          <w:iCs/>
          <w:sz w:val="18"/>
          <w:szCs w:val="18"/>
          <w:lang w:bidi="fa-IR"/>
        </w:rPr>
      </w:pPr>
    </w:p>
    <w:p w14:paraId="330B5247" w14:textId="77777777" w:rsidR="00E234D5" w:rsidRDefault="00E234D5" w:rsidP="00DC178C">
      <w:pPr>
        <w:spacing w:after="0" w:line="240" w:lineRule="auto"/>
        <w:contextualSpacing/>
        <w:rPr>
          <w:rFonts w:asciiTheme="majorBidi" w:hAnsiTheme="majorBidi" w:cstheme="majorBidi"/>
          <w:b/>
          <w:bCs/>
          <w:iCs/>
          <w:sz w:val="18"/>
          <w:szCs w:val="18"/>
          <w:lang w:bidi="fa-IR"/>
        </w:rPr>
      </w:pPr>
    </w:p>
    <w:p w14:paraId="0CA043EA" w14:textId="77777777" w:rsidR="00E234D5" w:rsidRDefault="00E234D5" w:rsidP="00DC178C">
      <w:pPr>
        <w:spacing w:after="0" w:line="240" w:lineRule="auto"/>
        <w:contextualSpacing/>
        <w:rPr>
          <w:rFonts w:asciiTheme="majorBidi" w:hAnsiTheme="majorBidi" w:cstheme="majorBidi"/>
          <w:b/>
          <w:bCs/>
          <w:iCs/>
          <w:sz w:val="18"/>
          <w:szCs w:val="18"/>
          <w:lang w:bidi="fa-IR"/>
        </w:rPr>
      </w:pPr>
    </w:p>
    <w:p w14:paraId="3EA1D76C" w14:textId="48242597" w:rsidR="003B4653" w:rsidRDefault="003B4653" w:rsidP="0046691B">
      <w:pPr>
        <w:spacing w:after="0" w:line="240" w:lineRule="auto"/>
        <w:contextualSpacing/>
        <w:rPr>
          <w:sz w:val="16"/>
          <w:szCs w:val="16"/>
          <w:lang w:bidi="fa-IR"/>
        </w:rPr>
      </w:pPr>
      <w:r w:rsidRPr="0092221F">
        <w:rPr>
          <w:b/>
          <w:bCs/>
          <w:sz w:val="16"/>
          <w:szCs w:val="16"/>
          <w:lang w:bidi="fa-IR"/>
        </w:rPr>
        <w:lastRenderedPageBreak/>
        <w:t xml:space="preserve">Table </w:t>
      </w:r>
      <w:r w:rsidRPr="0092221F">
        <w:rPr>
          <w:b/>
          <w:bCs/>
          <w:sz w:val="16"/>
          <w:szCs w:val="16"/>
          <w:lang w:bidi="fa-IR"/>
        </w:rPr>
        <w:fldChar w:fldCharType="begin"/>
      </w:r>
      <w:r w:rsidRPr="0092221F">
        <w:rPr>
          <w:b/>
          <w:bCs/>
          <w:sz w:val="16"/>
          <w:szCs w:val="16"/>
          <w:lang w:bidi="fa-IR"/>
        </w:rPr>
        <w:instrText xml:space="preserve"> SEQ Table \* ARABIC </w:instrText>
      </w:r>
      <w:r w:rsidRPr="0092221F">
        <w:rPr>
          <w:b/>
          <w:bCs/>
          <w:sz w:val="16"/>
          <w:szCs w:val="16"/>
          <w:lang w:bidi="fa-IR"/>
        </w:rPr>
        <w:fldChar w:fldCharType="separate"/>
      </w:r>
      <w:r w:rsidR="0030590D">
        <w:rPr>
          <w:b/>
          <w:bCs/>
          <w:noProof/>
          <w:sz w:val="16"/>
          <w:szCs w:val="16"/>
          <w:lang w:bidi="fa-IR"/>
        </w:rPr>
        <w:t>2</w:t>
      </w:r>
      <w:r w:rsidRPr="0092221F">
        <w:rPr>
          <w:b/>
          <w:bCs/>
          <w:sz w:val="16"/>
          <w:szCs w:val="16"/>
          <w:lang w:bidi="fa-IR"/>
        </w:rPr>
        <w:fldChar w:fldCharType="end"/>
      </w:r>
      <w:r w:rsidRPr="0092221F">
        <w:rPr>
          <w:b/>
          <w:bCs/>
          <w:sz w:val="16"/>
          <w:szCs w:val="16"/>
          <w:lang w:bidi="fa-IR"/>
        </w:rPr>
        <w:t>.</w:t>
      </w:r>
      <w:r w:rsidRPr="000B7AF4">
        <w:rPr>
          <w:sz w:val="16"/>
          <w:szCs w:val="16"/>
          <w:lang w:bidi="fa-IR"/>
        </w:rPr>
        <w:t>Toda and Yamamoto causality test results</w:t>
      </w:r>
    </w:p>
    <w:p w14:paraId="61D218FB" w14:textId="77777777" w:rsidR="003B4653" w:rsidRPr="007B7146" w:rsidRDefault="003B4653" w:rsidP="003B4653">
      <w:pPr>
        <w:spacing w:after="0" w:line="240" w:lineRule="auto"/>
        <w:contextualSpacing/>
        <w:rPr>
          <w:b/>
          <w:bCs/>
          <w:sz w:val="16"/>
          <w:szCs w:val="16"/>
          <w:rtl/>
          <w:lang w:bidi="fa-IR"/>
        </w:rPr>
      </w:pPr>
      <w:r w:rsidRPr="00091BC7">
        <w:rPr>
          <w:sz w:val="16"/>
          <w:szCs w:val="16"/>
          <w:lang w:bidi="fa-IR"/>
        </w:rPr>
        <w:t>Source: Research results</w:t>
      </w:r>
      <w:r w:rsidRPr="007B7146">
        <w:rPr>
          <w:rFonts w:hint="cs"/>
          <w:b/>
          <w:bCs/>
          <w:sz w:val="16"/>
          <w:szCs w:val="16"/>
          <w:rtl/>
          <w:lang w:bidi="fa-IR"/>
        </w:rPr>
        <w:t xml:space="preserve">  </w:t>
      </w:r>
    </w:p>
    <w:tbl>
      <w:tblPr>
        <w:tblStyle w:val="TableGrid"/>
        <w:bidiVisual/>
        <w:tblW w:w="0" w:type="auto"/>
        <w:tblLook w:val="04A0" w:firstRow="1" w:lastRow="0" w:firstColumn="1" w:lastColumn="0" w:noHBand="0" w:noVBand="1"/>
      </w:tblPr>
      <w:tblGrid>
        <w:gridCol w:w="2264"/>
        <w:gridCol w:w="2221"/>
        <w:gridCol w:w="2259"/>
      </w:tblGrid>
      <w:tr w:rsidR="00DC178C" w:rsidRPr="009546FC" w14:paraId="42CB58E2" w14:textId="77777777" w:rsidTr="00854001">
        <w:tc>
          <w:tcPr>
            <w:tcW w:w="2264" w:type="dxa"/>
          </w:tcPr>
          <w:p w14:paraId="1668B821" w14:textId="77777777" w:rsidR="00DC178C" w:rsidRPr="009546FC" w:rsidRDefault="00DC178C" w:rsidP="00854001">
            <w:pPr>
              <w:numPr>
                <w:ilvl w:val="1"/>
                <w:numId w:val="0"/>
              </w:numPr>
              <w:bidi/>
              <w:contextualSpacing/>
              <w:jc w:val="center"/>
              <w:rPr>
                <w:rFonts w:asciiTheme="majorBidi" w:hAnsiTheme="majorBidi" w:cstheme="majorBidi"/>
                <w:b/>
                <w:bCs/>
                <w:iCs/>
                <w:sz w:val="16"/>
                <w:szCs w:val="16"/>
                <w:rtl/>
                <w:lang w:bidi="fa-IR"/>
              </w:rPr>
            </w:pPr>
            <w:r w:rsidRPr="009546FC">
              <w:rPr>
                <w:rFonts w:asciiTheme="majorBidi" w:hAnsiTheme="majorBidi" w:cstheme="majorBidi"/>
                <w:b/>
                <w:bCs/>
                <w:iCs/>
                <w:sz w:val="16"/>
                <w:szCs w:val="16"/>
                <w:lang w:bidi="fa-IR"/>
              </w:rPr>
              <w:t>H0 Hypothesis</w:t>
            </w:r>
          </w:p>
        </w:tc>
        <w:tc>
          <w:tcPr>
            <w:tcW w:w="2221" w:type="dxa"/>
          </w:tcPr>
          <w:p w14:paraId="4A6C74D9" w14:textId="77777777" w:rsidR="00DC178C" w:rsidRPr="009546FC" w:rsidRDefault="00DC178C" w:rsidP="00854001">
            <w:pPr>
              <w:numPr>
                <w:ilvl w:val="1"/>
                <w:numId w:val="0"/>
              </w:numPr>
              <w:bidi/>
              <w:contextualSpacing/>
              <w:jc w:val="center"/>
              <w:rPr>
                <w:rFonts w:asciiTheme="majorBidi" w:hAnsiTheme="majorBidi" w:cstheme="majorBidi"/>
                <w:b/>
                <w:bCs/>
                <w:iCs/>
                <w:sz w:val="16"/>
                <w:szCs w:val="16"/>
                <w:rtl/>
                <w:lang w:bidi="fa-IR"/>
              </w:rPr>
            </w:pPr>
            <w:r w:rsidRPr="009546FC">
              <w:rPr>
                <w:rFonts w:asciiTheme="majorBidi" w:hAnsiTheme="majorBidi" w:cstheme="majorBidi"/>
                <w:b/>
                <w:bCs/>
                <w:iCs/>
                <w:sz w:val="16"/>
                <w:szCs w:val="16"/>
                <w:lang w:bidi="fa-IR"/>
              </w:rPr>
              <w:t>Test statistics</w:t>
            </w:r>
          </w:p>
        </w:tc>
        <w:tc>
          <w:tcPr>
            <w:tcW w:w="2259" w:type="dxa"/>
          </w:tcPr>
          <w:p w14:paraId="3DCB7EC6" w14:textId="77777777" w:rsidR="00DC178C" w:rsidRPr="009546FC" w:rsidRDefault="00DC178C" w:rsidP="00854001">
            <w:pPr>
              <w:numPr>
                <w:ilvl w:val="1"/>
                <w:numId w:val="0"/>
              </w:numPr>
              <w:bidi/>
              <w:contextualSpacing/>
              <w:jc w:val="center"/>
              <w:rPr>
                <w:rFonts w:asciiTheme="majorBidi" w:hAnsiTheme="majorBidi" w:cstheme="majorBidi"/>
                <w:b/>
                <w:bCs/>
                <w:iCs/>
                <w:sz w:val="16"/>
                <w:szCs w:val="16"/>
                <w:rtl/>
                <w:lang w:bidi="fa-IR"/>
              </w:rPr>
            </w:pPr>
            <w:r w:rsidRPr="00D04C20">
              <w:rPr>
                <w:rFonts w:asciiTheme="majorBidi" w:hAnsiTheme="majorBidi" w:cstheme="majorBidi"/>
                <w:b/>
                <w:bCs/>
                <w:iCs/>
                <w:sz w:val="16"/>
                <w:szCs w:val="16"/>
                <w:lang w:bidi="fa-IR"/>
              </w:rPr>
              <w:t>Probability</w:t>
            </w:r>
          </w:p>
        </w:tc>
      </w:tr>
      <w:tr w:rsidR="00DC178C" w:rsidRPr="009546FC" w14:paraId="4EDCA71A" w14:textId="77777777" w:rsidTr="00854001">
        <w:tc>
          <w:tcPr>
            <w:tcW w:w="2264" w:type="dxa"/>
          </w:tcPr>
          <w:p w14:paraId="0E1D9F9C" w14:textId="77777777" w:rsidR="00DC178C" w:rsidRPr="009546FC" w:rsidRDefault="00DC178C" w:rsidP="00854001">
            <w:pPr>
              <w:numPr>
                <w:ilvl w:val="1"/>
                <w:numId w:val="0"/>
              </w:numPr>
              <w:contextualSpacing/>
              <w:jc w:val="center"/>
              <w:rPr>
                <w:rFonts w:asciiTheme="majorBidi" w:hAnsiTheme="majorBidi" w:cstheme="majorBidi"/>
                <w:b/>
                <w:bCs/>
                <w:iCs/>
                <w:sz w:val="16"/>
                <w:szCs w:val="16"/>
                <w:rtl/>
                <w:lang w:bidi="fa-IR"/>
              </w:rPr>
            </w:pPr>
            <w:r w:rsidRPr="009546FC">
              <w:rPr>
                <w:rFonts w:asciiTheme="majorBidi" w:hAnsiTheme="majorBidi" w:cstheme="majorBidi"/>
                <w:iCs/>
                <w:position w:val="-10"/>
                <w:sz w:val="16"/>
                <w:szCs w:val="16"/>
              </w:rPr>
              <w:object w:dxaOrig="300" w:dyaOrig="279" w14:anchorId="4D5C709E">
                <v:shape id="_x0000_i1032" type="#_x0000_t75" style="width:15pt;height:14.25pt" o:ole="">
                  <v:imagedata r:id="rId14" o:title=""/>
                </v:shape>
                <o:OLEObject Type="Embed" ProgID="Equation.3" ShapeID="_x0000_i1032" DrawAspect="Content" ObjectID="_1843193198" r:id="rId22"/>
              </w:object>
            </w:r>
            <w:r w:rsidRPr="009546FC">
              <w:rPr>
                <w:rFonts w:asciiTheme="majorBidi" w:hAnsiTheme="majorBidi" w:cstheme="majorBidi"/>
                <w:iCs/>
                <w:sz w:val="16"/>
                <w:szCs w:val="16"/>
              </w:rPr>
              <w:t xml:space="preserve"> does not affect </w:t>
            </w:r>
            <w:r w:rsidRPr="009546FC">
              <w:rPr>
                <w:rFonts w:asciiTheme="majorBidi" w:hAnsiTheme="majorBidi" w:cstheme="majorBidi"/>
                <w:iCs/>
                <w:position w:val="-10"/>
                <w:sz w:val="16"/>
                <w:szCs w:val="16"/>
              </w:rPr>
              <w:object w:dxaOrig="499" w:dyaOrig="279" w14:anchorId="6E593177">
                <v:shape id="_x0000_i1033" type="#_x0000_t75" style="width:25.5pt;height:14.25pt" o:ole="">
                  <v:imagedata r:id="rId16" o:title=""/>
                </v:shape>
                <o:OLEObject Type="Embed" ProgID="Equation.3" ShapeID="_x0000_i1033" DrawAspect="Content" ObjectID="_1843193199" r:id="rId23"/>
              </w:object>
            </w:r>
          </w:p>
        </w:tc>
        <w:tc>
          <w:tcPr>
            <w:tcW w:w="2221" w:type="dxa"/>
          </w:tcPr>
          <w:p w14:paraId="2180DE6B" w14:textId="21082BF9" w:rsidR="00DC178C" w:rsidRPr="009546FC" w:rsidRDefault="00DC178C" w:rsidP="00DC178C">
            <w:pPr>
              <w:numPr>
                <w:ilvl w:val="1"/>
                <w:numId w:val="0"/>
              </w:numPr>
              <w:bidi/>
              <w:contextualSpacing/>
              <w:jc w:val="center"/>
              <w:rPr>
                <w:rFonts w:asciiTheme="majorBidi" w:hAnsiTheme="majorBidi" w:cstheme="majorBidi"/>
                <w:iCs/>
                <w:sz w:val="16"/>
                <w:szCs w:val="16"/>
                <w:rtl/>
                <w:lang w:bidi="fa-IR"/>
              </w:rPr>
            </w:pPr>
            <w:r>
              <w:rPr>
                <w:rFonts w:asciiTheme="majorBidi" w:hAnsiTheme="majorBidi" w:cstheme="majorBidi"/>
                <w:iCs/>
                <w:sz w:val="16"/>
                <w:szCs w:val="16"/>
                <w:lang w:bidi="fa-IR"/>
              </w:rPr>
              <w:t>356</w:t>
            </w:r>
            <w:r w:rsidRPr="009546FC">
              <w:rPr>
                <w:rFonts w:asciiTheme="majorBidi" w:hAnsiTheme="majorBidi" w:cstheme="majorBidi"/>
                <w:iCs/>
                <w:sz w:val="16"/>
                <w:szCs w:val="16"/>
                <w:lang w:bidi="fa-IR"/>
              </w:rPr>
              <w:t>.</w:t>
            </w:r>
            <w:r>
              <w:rPr>
                <w:rFonts w:asciiTheme="majorBidi" w:hAnsiTheme="majorBidi" w:cstheme="majorBidi"/>
                <w:iCs/>
                <w:sz w:val="16"/>
                <w:szCs w:val="16"/>
                <w:lang w:bidi="fa-IR"/>
              </w:rPr>
              <w:t>05</w:t>
            </w:r>
          </w:p>
        </w:tc>
        <w:tc>
          <w:tcPr>
            <w:tcW w:w="2259" w:type="dxa"/>
          </w:tcPr>
          <w:p w14:paraId="67E171EE" w14:textId="77777777" w:rsidR="00DC178C" w:rsidRPr="009546FC" w:rsidRDefault="00DC178C" w:rsidP="00854001">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0.00</w:t>
            </w:r>
          </w:p>
        </w:tc>
      </w:tr>
      <w:tr w:rsidR="00DC178C" w:rsidRPr="009546FC" w14:paraId="51D1D0F1" w14:textId="77777777" w:rsidTr="00854001">
        <w:tc>
          <w:tcPr>
            <w:tcW w:w="2264" w:type="dxa"/>
          </w:tcPr>
          <w:p w14:paraId="02038304" w14:textId="77777777" w:rsidR="00DC178C" w:rsidRPr="009546FC" w:rsidRDefault="00DC178C" w:rsidP="00DC178C">
            <w:pPr>
              <w:numPr>
                <w:ilvl w:val="1"/>
                <w:numId w:val="0"/>
              </w:numPr>
              <w:contextualSpacing/>
              <w:jc w:val="center"/>
              <w:rPr>
                <w:rFonts w:asciiTheme="majorBidi" w:hAnsiTheme="majorBidi" w:cstheme="majorBidi"/>
                <w:b/>
                <w:bCs/>
                <w:iCs/>
                <w:sz w:val="16"/>
                <w:szCs w:val="16"/>
                <w:rtl/>
                <w:lang w:bidi="fa-IR"/>
              </w:rPr>
            </w:pPr>
            <w:r w:rsidRPr="009546FC">
              <w:rPr>
                <w:rFonts w:asciiTheme="majorBidi" w:hAnsiTheme="majorBidi" w:cstheme="majorBidi"/>
                <w:iCs/>
                <w:position w:val="-10"/>
                <w:sz w:val="16"/>
                <w:szCs w:val="16"/>
              </w:rPr>
              <w:object w:dxaOrig="499" w:dyaOrig="279" w14:anchorId="6ECB9ACA">
                <v:shape id="_x0000_i1034" type="#_x0000_t75" style="width:25.5pt;height:14.25pt" o:ole="">
                  <v:imagedata r:id="rId18" o:title=""/>
                </v:shape>
                <o:OLEObject Type="Embed" ProgID="Equation.3" ShapeID="_x0000_i1034" DrawAspect="Content" ObjectID="_1843193200" r:id="rId24"/>
              </w:object>
            </w:r>
            <w:r w:rsidRPr="009546FC">
              <w:rPr>
                <w:rFonts w:asciiTheme="majorBidi" w:hAnsiTheme="majorBidi" w:cstheme="majorBidi"/>
                <w:iCs/>
                <w:sz w:val="16"/>
                <w:szCs w:val="16"/>
              </w:rPr>
              <w:t xml:space="preserve"> does not affect </w:t>
            </w:r>
            <w:r w:rsidRPr="009546FC">
              <w:rPr>
                <w:rFonts w:asciiTheme="majorBidi" w:hAnsiTheme="majorBidi" w:cstheme="majorBidi"/>
                <w:iCs/>
                <w:position w:val="-10"/>
                <w:sz w:val="16"/>
                <w:szCs w:val="16"/>
              </w:rPr>
              <w:object w:dxaOrig="300" w:dyaOrig="279" w14:anchorId="13FE1B44">
                <v:shape id="_x0000_i1035" type="#_x0000_t75" style="width:15pt;height:14.25pt" o:ole="">
                  <v:imagedata r:id="rId20" o:title=""/>
                </v:shape>
                <o:OLEObject Type="Embed" ProgID="Equation.3" ShapeID="_x0000_i1035" DrawAspect="Content" ObjectID="_1843193201" r:id="rId25"/>
              </w:object>
            </w:r>
          </w:p>
        </w:tc>
        <w:tc>
          <w:tcPr>
            <w:tcW w:w="2221" w:type="dxa"/>
          </w:tcPr>
          <w:p w14:paraId="5BC5D983" w14:textId="5EAED7EB" w:rsidR="00DC178C" w:rsidRPr="009546FC" w:rsidRDefault="00DC178C" w:rsidP="00DC178C">
            <w:pPr>
              <w:numPr>
                <w:ilvl w:val="1"/>
                <w:numId w:val="0"/>
              </w:numPr>
              <w:bidi/>
              <w:contextualSpacing/>
              <w:jc w:val="center"/>
              <w:rPr>
                <w:rFonts w:asciiTheme="majorBidi" w:hAnsiTheme="majorBidi" w:cstheme="majorBidi"/>
                <w:iCs/>
                <w:sz w:val="16"/>
                <w:szCs w:val="16"/>
                <w:rtl/>
                <w:lang w:bidi="fa-IR"/>
              </w:rPr>
            </w:pPr>
            <w:r>
              <w:rPr>
                <w:rFonts w:asciiTheme="majorBidi" w:hAnsiTheme="majorBidi" w:cstheme="majorBidi"/>
                <w:iCs/>
                <w:sz w:val="16"/>
                <w:szCs w:val="16"/>
                <w:lang w:bidi="fa-IR"/>
              </w:rPr>
              <w:t>28</w:t>
            </w:r>
            <w:r w:rsidRPr="009546FC">
              <w:rPr>
                <w:rFonts w:asciiTheme="majorBidi" w:hAnsiTheme="majorBidi" w:cstheme="majorBidi"/>
                <w:iCs/>
                <w:sz w:val="16"/>
                <w:szCs w:val="16"/>
                <w:lang w:bidi="fa-IR"/>
              </w:rPr>
              <w:t>.</w:t>
            </w:r>
            <w:r>
              <w:rPr>
                <w:rFonts w:asciiTheme="majorBidi" w:hAnsiTheme="majorBidi" w:cstheme="majorBidi"/>
                <w:iCs/>
                <w:sz w:val="16"/>
                <w:szCs w:val="16"/>
                <w:lang w:bidi="fa-IR"/>
              </w:rPr>
              <w:t>09</w:t>
            </w:r>
          </w:p>
        </w:tc>
        <w:tc>
          <w:tcPr>
            <w:tcW w:w="2259" w:type="dxa"/>
          </w:tcPr>
          <w:p w14:paraId="5036651C" w14:textId="77777777" w:rsidR="00DC178C" w:rsidRPr="009546FC" w:rsidRDefault="00DC178C" w:rsidP="00DC178C">
            <w:pPr>
              <w:numPr>
                <w:ilvl w:val="1"/>
                <w:numId w:val="0"/>
              </w:numPr>
              <w:bidi/>
              <w:contextualSpacing/>
              <w:jc w:val="center"/>
              <w:rPr>
                <w:rFonts w:asciiTheme="majorBidi" w:hAnsiTheme="majorBidi" w:cstheme="majorBidi"/>
                <w:iCs/>
                <w:sz w:val="16"/>
                <w:szCs w:val="16"/>
                <w:rtl/>
                <w:lang w:bidi="fa-IR"/>
              </w:rPr>
            </w:pPr>
            <w:r w:rsidRPr="009546FC">
              <w:rPr>
                <w:rFonts w:asciiTheme="majorBidi" w:hAnsiTheme="majorBidi" w:cstheme="majorBidi"/>
                <w:iCs/>
                <w:sz w:val="16"/>
                <w:szCs w:val="16"/>
                <w:lang w:bidi="fa-IR"/>
              </w:rPr>
              <w:t>0.00</w:t>
            </w:r>
          </w:p>
        </w:tc>
      </w:tr>
    </w:tbl>
    <w:p w14:paraId="6D1A8892" w14:textId="77777777" w:rsidR="00DD14E1" w:rsidRDefault="00DD14E1" w:rsidP="00D04C20">
      <w:pPr>
        <w:pStyle w:val="Default"/>
        <w:jc w:val="both"/>
        <w:rPr>
          <w:color w:val="auto"/>
          <w:sz w:val="22"/>
          <w:szCs w:val="22"/>
        </w:rPr>
      </w:pPr>
    </w:p>
    <w:p w14:paraId="1AD454C1" w14:textId="1979B4D2" w:rsidR="00D04C20" w:rsidRPr="00D04C20" w:rsidRDefault="00D04C20" w:rsidP="00D04C20">
      <w:pPr>
        <w:pStyle w:val="Default"/>
        <w:jc w:val="both"/>
        <w:rPr>
          <w:color w:val="auto"/>
          <w:sz w:val="22"/>
          <w:szCs w:val="22"/>
        </w:rPr>
      </w:pPr>
      <w:r w:rsidRPr="00D04C20">
        <w:rPr>
          <w:color w:val="auto"/>
          <w:sz w:val="22"/>
          <w:szCs w:val="22"/>
        </w:rPr>
        <w:t>According to the results obtained from the table above, there is a mutual relationship between the investigated variables with a probability of 99% and more. Therefore, exchange rate fluctuations are a factor in the gap between realized inflation and core inflation. Inflationary deviations also cause exchange rate fluctuations in Iran's economy.</w:t>
      </w:r>
    </w:p>
    <w:p w14:paraId="101E50B6" w14:textId="3E10E280" w:rsidR="009546FC" w:rsidRDefault="00D04C20" w:rsidP="00DD14E1">
      <w:pPr>
        <w:pStyle w:val="Default"/>
        <w:ind w:firstLine="630"/>
        <w:jc w:val="both"/>
        <w:rPr>
          <w:color w:val="auto"/>
          <w:sz w:val="22"/>
          <w:szCs w:val="22"/>
        </w:rPr>
      </w:pPr>
      <w:r w:rsidRPr="00D04C20">
        <w:rPr>
          <w:color w:val="auto"/>
          <w:sz w:val="22"/>
          <w:szCs w:val="22"/>
        </w:rPr>
        <w:t>Also, Mandel-Fleming's stochastic model and ARDL method have been used to evaluate exchange rate fluctuations on core inflation, and the results of the long-run relationship of the proposed model are shown in the table below.</w:t>
      </w:r>
    </w:p>
    <w:p w14:paraId="339DC3A3" w14:textId="77777777" w:rsidR="00DD14E1" w:rsidRDefault="00DD14E1" w:rsidP="00D04C20">
      <w:pPr>
        <w:spacing w:after="0" w:line="240" w:lineRule="auto"/>
        <w:contextualSpacing/>
        <w:jc w:val="both"/>
        <w:rPr>
          <w:rFonts w:asciiTheme="majorBidi" w:hAnsiTheme="majorBidi" w:cstheme="majorBidi"/>
          <w:b/>
          <w:bCs/>
          <w:iCs/>
          <w:sz w:val="16"/>
          <w:szCs w:val="16"/>
          <w:lang w:bidi="fa-IR"/>
        </w:rPr>
      </w:pPr>
    </w:p>
    <w:p w14:paraId="1C3398B7" w14:textId="78819375" w:rsidR="003B4653" w:rsidRDefault="003B4653" w:rsidP="003B4653">
      <w:pPr>
        <w:spacing w:after="0" w:line="240" w:lineRule="auto"/>
        <w:contextualSpacing/>
        <w:rPr>
          <w:sz w:val="16"/>
          <w:szCs w:val="16"/>
          <w:lang w:bidi="fa-IR"/>
        </w:rPr>
      </w:pPr>
      <w:r w:rsidRPr="0092221F">
        <w:rPr>
          <w:b/>
          <w:bCs/>
          <w:sz w:val="16"/>
          <w:szCs w:val="16"/>
          <w:lang w:bidi="fa-IR"/>
        </w:rPr>
        <w:t xml:space="preserve">Table </w:t>
      </w:r>
      <w:r w:rsidRPr="0092221F">
        <w:rPr>
          <w:b/>
          <w:bCs/>
          <w:sz w:val="16"/>
          <w:szCs w:val="16"/>
          <w:lang w:bidi="fa-IR"/>
        </w:rPr>
        <w:fldChar w:fldCharType="begin"/>
      </w:r>
      <w:r w:rsidRPr="0092221F">
        <w:rPr>
          <w:b/>
          <w:bCs/>
          <w:sz w:val="16"/>
          <w:szCs w:val="16"/>
          <w:lang w:bidi="fa-IR"/>
        </w:rPr>
        <w:instrText xml:space="preserve"> SEQ Table \* ARABIC </w:instrText>
      </w:r>
      <w:r w:rsidRPr="0092221F">
        <w:rPr>
          <w:b/>
          <w:bCs/>
          <w:sz w:val="16"/>
          <w:szCs w:val="16"/>
          <w:lang w:bidi="fa-IR"/>
        </w:rPr>
        <w:fldChar w:fldCharType="separate"/>
      </w:r>
      <w:r w:rsidR="0030590D">
        <w:rPr>
          <w:b/>
          <w:bCs/>
          <w:noProof/>
          <w:sz w:val="16"/>
          <w:szCs w:val="16"/>
          <w:lang w:bidi="fa-IR"/>
        </w:rPr>
        <w:t>3</w:t>
      </w:r>
      <w:r w:rsidRPr="0092221F">
        <w:rPr>
          <w:b/>
          <w:bCs/>
          <w:sz w:val="16"/>
          <w:szCs w:val="16"/>
          <w:lang w:bidi="fa-IR"/>
        </w:rPr>
        <w:fldChar w:fldCharType="end"/>
      </w:r>
      <w:r w:rsidRPr="0092221F">
        <w:rPr>
          <w:b/>
          <w:bCs/>
          <w:sz w:val="16"/>
          <w:szCs w:val="16"/>
          <w:lang w:bidi="fa-IR"/>
        </w:rPr>
        <w:t>.</w:t>
      </w:r>
      <w:r w:rsidRPr="00CD283E">
        <w:rPr>
          <w:sz w:val="16"/>
          <w:szCs w:val="16"/>
          <w:lang w:bidi="fa-IR"/>
        </w:rPr>
        <w:t>The results of estimating the long-run relationship of equation (</w:t>
      </w:r>
      <w:r>
        <w:rPr>
          <w:sz w:val="16"/>
          <w:szCs w:val="16"/>
          <w:lang w:bidi="fa-IR"/>
        </w:rPr>
        <w:t>23</w:t>
      </w:r>
      <w:r w:rsidRPr="00CD283E">
        <w:rPr>
          <w:sz w:val="16"/>
          <w:szCs w:val="16"/>
          <w:lang w:bidi="fa-IR"/>
        </w:rPr>
        <w:t>)</w:t>
      </w:r>
    </w:p>
    <w:p w14:paraId="40D2F641" w14:textId="0276539D" w:rsidR="00D04C20" w:rsidRPr="00D04C20" w:rsidRDefault="003B4653" w:rsidP="003B4653">
      <w:pPr>
        <w:spacing w:after="0" w:line="240" w:lineRule="auto"/>
        <w:contextualSpacing/>
        <w:rPr>
          <w:rFonts w:asciiTheme="majorBidi" w:hAnsiTheme="majorBidi" w:cstheme="majorBidi"/>
          <w:b/>
          <w:bCs/>
          <w:iCs/>
          <w:sz w:val="22"/>
          <w:szCs w:val="22"/>
          <w:rtl/>
          <w:lang w:bidi="fa-IR"/>
        </w:rPr>
      </w:pPr>
      <w:r w:rsidRPr="00091BC7">
        <w:rPr>
          <w:sz w:val="16"/>
          <w:szCs w:val="16"/>
          <w:lang w:bidi="fa-IR"/>
        </w:rPr>
        <w:t>Source: Research results</w:t>
      </w:r>
      <w:r w:rsidRPr="007B7146">
        <w:rPr>
          <w:rFonts w:hint="cs"/>
          <w:b/>
          <w:bCs/>
          <w:sz w:val="16"/>
          <w:szCs w:val="16"/>
          <w:rtl/>
          <w:lang w:bidi="fa-IR"/>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3"/>
        <w:gridCol w:w="1774"/>
        <w:gridCol w:w="1717"/>
      </w:tblGrid>
      <w:tr w:rsidR="00D04C20" w:rsidRPr="00D04C20" w14:paraId="0FE49A85" w14:textId="77777777" w:rsidTr="00280C02">
        <w:trPr>
          <w:jc w:val="center"/>
        </w:trPr>
        <w:tc>
          <w:tcPr>
            <w:tcW w:w="2412" w:type="pct"/>
            <w:shd w:val="clear" w:color="auto" w:fill="auto"/>
            <w:vAlign w:val="center"/>
          </w:tcPr>
          <w:p w14:paraId="783DF0F4" w14:textId="5F4508EA" w:rsidR="00D04C20" w:rsidRPr="00D04C20" w:rsidRDefault="00D04C20" w:rsidP="00D04C20">
            <w:pPr>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b/>
                <w:bCs/>
                <w:iCs/>
                <w:sz w:val="16"/>
                <w:szCs w:val="16"/>
                <w:lang w:bidi="fa-IR"/>
              </w:rPr>
              <w:t>Variables</w:t>
            </w:r>
          </w:p>
        </w:tc>
        <w:tc>
          <w:tcPr>
            <w:tcW w:w="1315" w:type="pct"/>
            <w:shd w:val="clear" w:color="auto" w:fill="auto"/>
            <w:vAlign w:val="center"/>
          </w:tcPr>
          <w:p w14:paraId="7B51BC92" w14:textId="3B656D6C"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b/>
                <w:bCs/>
                <w:iCs/>
                <w:sz w:val="16"/>
                <w:szCs w:val="16"/>
                <w:lang w:bidi="fa-IR"/>
              </w:rPr>
              <w:t>Coefficients</w:t>
            </w:r>
          </w:p>
        </w:tc>
        <w:tc>
          <w:tcPr>
            <w:tcW w:w="1273" w:type="pct"/>
            <w:shd w:val="clear" w:color="auto" w:fill="auto"/>
            <w:vAlign w:val="center"/>
          </w:tcPr>
          <w:p w14:paraId="09BC17AA" w14:textId="63DD2EFD" w:rsidR="00D04C20" w:rsidRPr="00D04C20" w:rsidRDefault="00D04C20" w:rsidP="00D04C20">
            <w:pPr>
              <w:autoSpaceDE w:val="0"/>
              <w:autoSpaceDN w:val="0"/>
              <w:adjustRightInd w:val="0"/>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b/>
                <w:bCs/>
                <w:iCs/>
                <w:sz w:val="16"/>
                <w:szCs w:val="16"/>
                <w:lang w:bidi="fa-IR"/>
              </w:rPr>
              <w:t>Test statistics (Probability)</w:t>
            </w:r>
          </w:p>
        </w:tc>
      </w:tr>
      <w:tr w:rsidR="00D04C20" w:rsidRPr="00D04C20" w14:paraId="2384F1B8" w14:textId="77777777" w:rsidTr="00280C02">
        <w:trPr>
          <w:jc w:val="center"/>
        </w:trPr>
        <w:tc>
          <w:tcPr>
            <w:tcW w:w="2412" w:type="pct"/>
            <w:shd w:val="clear" w:color="auto" w:fill="auto"/>
            <w:vAlign w:val="center"/>
          </w:tcPr>
          <w:p w14:paraId="500897EA" w14:textId="77777777" w:rsidR="00D04C20" w:rsidRPr="00D04C20" w:rsidRDefault="00D04C20" w:rsidP="00280C02">
            <w:pPr>
              <w:numPr>
                <w:ilvl w:val="1"/>
                <w:numId w:val="0"/>
              </w:numPr>
              <w:bidi/>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iCs/>
                <w:position w:val="-10"/>
                <w:sz w:val="16"/>
                <w:szCs w:val="16"/>
              </w:rPr>
              <w:object w:dxaOrig="580" w:dyaOrig="279" w14:anchorId="7D6C9C0B">
                <v:shape id="_x0000_i1036" type="#_x0000_t75" style="width:29.25pt;height:13.5pt" o:ole="">
                  <v:imagedata r:id="rId26" o:title=""/>
                </v:shape>
                <o:OLEObject Type="Embed" ProgID="Equation.3" ShapeID="_x0000_i1036" DrawAspect="Content" ObjectID="_1843193202" r:id="rId27"/>
              </w:object>
            </w:r>
          </w:p>
        </w:tc>
        <w:tc>
          <w:tcPr>
            <w:tcW w:w="1315" w:type="pct"/>
            <w:shd w:val="clear" w:color="auto" w:fill="auto"/>
            <w:vAlign w:val="center"/>
          </w:tcPr>
          <w:p w14:paraId="74B8BD4D" w14:textId="45669C4F" w:rsidR="00D04C20" w:rsidRPr="00D04C20" w:rsidRDefault="00D04C20" w:rsidP="00280C02">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0.56</w:t>
            </w:r>
          </w:p>
        </w:tc>
        <w:tc>
          <w:tcPr>
            <w:tcW w:w="1273" w:type="pct"/>
            <w:shd w:val="clear" w:color="auto" w:fill="auto"/>
            <w:vAlign w:val="center"/>
          </w:tcPr>
          <w:p w14:paraId="6E43363F" w14:textId="69B5DEF7"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4.74 (0.00)</w:t>
            </w:r>
          </w:p>
        </w:tc>
      </w:tr>
      <w:tr w:rsidR="00D04C20" w:rsidRPr="00D04C20" w14:paraId="1C6A6909" w14:textId="77777777" w:rsidTr="00280C02">
        <w:trPr>
          <w:jc w:val="center"/>
        </w:trPr>
        <w:tc>
          <w:tcPr>
            <w:tcW w:w="2412" w:type="pct"/>
            <w:shd w:val="clear" w:color="auto" w:fill="auto"/>
            <w:vAlign w:val="center"/>
          </w:tcPr>
          <w:p w14:paraId="3E39E9CC" w14:textId="77777777" w:rsidR="00D04C20" w:rsidRPr="00D04C20" w:rsidRDefault="00D04C20" w:rsidP="00280C02">
            <w:pPr>
              <w:numPr>
                <w:ilvl w:val="1"/>
                <w:numId w:val="0"/>
              </w:numPr>
              <w:bidi/>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iCs/>
                <w:position w:val="-10"/>
                <w:sz w:val="16"/>
                <w:szCs w:val="16"/>
              </w:rPr>
              <w:object w:dxaOrig="499" w:dyaOrig="279" w14:anchorId="4AAB4F80">
                <v:shape id="_x0000_i1037" type="#_x0000_t75" style="width:25.5pt;height:13.5pt" o:ole="">
                  <v:imagedata r:id="rId28" o:title=""/>
                </v:shape>
                <o:OLEObject Type="Embed" ProgID="Equation.3" ShapeID="_x0000_i1037" DrawAspect="Content" ObjectID="_1843193203" r:id="rId29"/>
              </w:object>
            </w:r>
          </w:p>
        </w:tc>
        <w:tc>
          <w:tcPr>
            <w:tcW w:w="1315" w:type="pct"/>
            <w:shd w:val="clear" w:color="auto" w:fill="auto"/>
            <w:vAlign w:val="center"/>
          </w:tcPr>
          <w:p w14:paraId="4ECB1BAA" w14:textId="2D1F1110"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-0.69</w:t>
            </w:r>
          </w:p>
        </w:tc>
        <w:tc>
          <w:tcPr>
            <w:tcW w:w="1273" w:type="pct"/>
            <w:shd w:val="clear" w:color="auto" w:fill="auto"/>
            <w:vAlign w:val="center"/>
          </w:tcPr>
          <w:p w14:paraId="60F11974" w14:textId="4700B75A"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-6.18 (0.00)</w:t>
            </w:r>
          </w:p>
        </w:tc>
      </w:tr>
      <w:tr w:rsidR="00D04C20" w:rsidRPr="00D04C20" w14:paraId="0E437611" w14:textId="77777777" w:rsidTr="00280C02">
        <w:trPr>
          <w:jc w:val="center"/>
        </w:trPr>
        <w:tc>
          <w:tcPr>
            <w:tcW w:w="2412" w:type="pct"/>
            <w:shd w:val="clear" w:color="auto" w:fill="auto"/>
            <w:vAlign w:val="center"/>
          </w:tcPr>
          <w:p w14:paraId="394C3558" w14:textId="77777777" w:rsidR="00D04C20" w:rsidRPr="00D04C20" w:rsidRDefault="00D04C20" w:rsidP="00D04C20">
            <w:pPr>
              <w:numPr>
                <w:ilvl w:val="1"/>
                <w:numId w:val="0"/>
              </w:numPr>
              <w:bidi/>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iCs/>
                <w:position w:val="-10"/>
                <w:sz w:val="16"/>
                <w:szCs w:val="16"/>
              </w:rPr>
              <w:object w:dxaOrig="520" w:dyaOrig="279" w14:anchorId="2915C4EE">
                <v:shape id="_x0000_i1038" type="#_x0000_t75" style="width:26.25pt;height:13.5pt" o:ole="">
                  <v:imagedata r:id="rId30" o:title=""/>
                </v:shape>
                <o:OLEObject Type="Embed" ProgID="Equation.3" ShapeID="_x0000_i1038" DrawAspect="Content" ObjectID="_1843193204" r:id="rId31"/>
              </w:object>
            </w:r>
          </w:p>
        </w:tc>
        <w:tc>
          <w:tcPr>
            <w:tcW w:w="1315" w:type="pct"/>
            <w:shd w:val="clear" w:color="auto" w:fill="auto"/>
            <w:vAlign w:val="center"/>
          </w:tcPr>
          <w:p w14:paraId="3BA737DA" w14:textId="4A7AD81B"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0.27</w:t>
            </w:r>
          </w:p>
        </w:tc>
        <w:tc>
          <w:tcPr>
            <w:tcW w:w="1273" w:type="pct"/>
            <w:shd w:val="clear" w:color="auto" w:fill="auto"/>
            <w:vAlign w:val="center"/>
          </w:tcPr>
          <w:p w14:paraId="19167998" w14:textId="62EABB1B"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3.15 (0.00)</w:t>
            </w:r>
          </w:p>
        </w:tc>
      </w:tr>
      <w:tr w:rsidR="00D04C20" w:rsidRPr="00D04C20" w14:paraId="19FA9F63" w14:textId="77777777" w:rsidTr="00280C02">
        <w:trPr>
          <w:jc w:val="center"/>
        </w:trPr>
        <w:tc>
          <w:tcPr>
            <w:tcW w:w="2412" w:type="pct"/>
            <w:shd w:val="clear" w:color="auto" w:fill="auto"/>
            <w:vAlign w:val="center"/>
          </w:tcPr>
          <w:p w14:paraId="4D152658" w14:textId="77777777" w:rsidR="00D04C20" w:rsidRPr="00D04C20" w:rsidRDefault="00D04C20" w:rsidP="00280C02">
            <w:pPr>
              <w:numPr>
                <w:ilvl w:val="1"/>
                <w:numId w:val="0"/>
              </w:numPr>
              <w:bidi/>
              <w:spacing w:after="0" w:line="240" w:lineRule="auto"/>
              <w:contextualSpacing/>
              <w:jc w:val="center"/>
              <w:rPr>
                <w:rFonts w:asciiTheme="majorBidi" w:hAnsiTheme="majorBidi" w:cstheme="majorBidi"/>
                <w:b/>
                <w:bCs/>
                <w:iCs/>
                <w:sz w:val="16"/>
                <w:szCs w:val="16"/>
                <w:rtl/>
                <w:lang w:bidi="fa-IR"/>
              </w:rPr>
            </w:pPr>
            <w:r w:rsidRPr="00D04C20">
              <w:rPr>
                <w:rFonts w:asciiTheme="majorBidi" w:hAnsiTheme="majorBidi" w:cstheme="majorBidi"/>
                <w:iCs/>
                <w:position w:val="-10"/>
                <w:sz w:val="16"/>
                <w:szCs w:val="16"/>
              </w:rPr>
              <w:object w:dxaOrig="300" w:dyaOrig="279" w14:anchorId="4330B9B9">
                <v:shape id="_x0000_i1039" type="#_x0000_t75" style="width:15pt;height:13.5pt" o:ole="">
                  <v:imagedata r:id="rId32" o:title=""/>
                </v:shape>
                <o:OLEObject Type="Embed" ProgID="Equation.3" ShapeID="_x0000_i1039" DrawAspect="Content" ObjectID="_1843193205" r:id="rId33"/>
              </w:object>
            </w:r>
          </w:p>
        </w:tc>
        <w:tc>
          <w:tcPr>
            <w:tcW w:w="1315" w:type="pct"/>
            <w:shd w:val="clear" w:color="auto" w:fill="auto"/>
            <w:vAlign w:val="center"/>
          </w:tcPr>
          <w:p w14:paraId="3F6CD257" w14:textId="6A6F29AE"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0.27</w:t>
            </w:r>
          </w:p>
        </w:tc>
        <w:tc>
          <w:tcPr>
            <w:tcW w:w="1273" w:type="pct"/>
            <w:shd w:val="clear" w:color="auto" w:fill="auto"/>
            <w:vAlign w:val="center"/>
          </w:tcPr>
          <w:p w14:paraId="4CCE1B50" w14:textId="20B89EFE"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2.52 (0.01)</w:t>
            </w:r>
          </w:p>
        </w:tc>
      </w:tr>
      <w:tr w:rsidR="00D04C20" w:rsidRPr="00D04C20" w14:paraId="466C802F" w14:textId="77777777" w:rsidTr="00280C02">
        <w:trPr>
          <w:jc w:val="center"/>
        </w:trPr>
        <w:tc>
          <w:tcPr>
            <w:tcW w:w="2412" w:type="pct"/>
            <w:shd w:val="clear" w:color="auto" w:fill="auto"/>
            <w:vAlign w:val="center"/>
          </w:tcPr>
          <w:p w14:paraId="3EC14BD7" w14:textId="47AC284D" w:rsidR="00D04C20" w:rsidRPr="00D04C20" w:rsidRDefault="00D04C20" w:rsidP="00280C02">
            <w:pPr>
              <w:autoSpaceDE w:val="0"/>
              <w:autoSpaceDN w:val="0"/>
              <w:bidi/>
              <w:adjustRightInd w:val="0"/>
              <w:spacing w:after="0" w:line="240" w:lineRule="auto"/>
              <w:contextualSpacing/>
              <w:jc w:val="center"/>
              <w:rPr>
                <w:rFonts w:asciiTheme="majorBidi" w:hAnsiTheme="majorBidi" w:cstheme="majorBidi"/>
                <w:iCs/>
                <w:sz w:val="16"/>
                <w:szCs w:val="16"/>
                <w:rtl/>
                <w:lang w:bidi="fa-IR"/>
              </w:rPr>
            </w:pPr>
            <w:r>
              <w:rPr>
                <w:rFonts w:asciiTheme="majorBidi" w:hAnsiTheme="majorBidi" w:cstheme="majorBidi"/>
                <w:iCs/>
                <w:sz w:val="16"/>
                <w:szCs w:val="16"/>
                <w:lang w:bidi="fa-IR"/>
              </w:rPr>
              <w:t>Constant</w:t>
            </w:r>
          </w:p>
        </w:tc>
        <w:tc>
          <w:tcPr>
            <w:tcW w:w="1315" w:type="pct"/>
            <w:shd w:val="clear" w:color="auto" w:fill="auto"/>
            <w:vAlign w:val="center"/>
          </w:tcPr>
          <w:p w14:paraId="18875DC3" w14:textId="1E277B82"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13.16</w:t>
            </w:r>
          </w:p>
        </w:tc>
        <w:tc>
          <w:tcPr>
            <w:tcW w:w="1273" w:type="pct"/>
            <w:shd w:val="clear" w:color="auto" w:fill="auto"/>
            <w:vAlign w:val="center"/>
          </w:tcPr>
          <w:p w14:paraId="1C24AF79" w14:textId="5260FEA1" w:rsidR="00D04C20" w:rsidRPr="00D04C20" w:rsidRDefault="00D04C20" w:rsidP="00D04C20">
            <w:pPr>
              <w:autoSpaceDE w:val="0"/>
              <w:autoSpaceDN w:val="0"/>
              <w:bidi/>
              <w:adjustRightInd w:val="0"/>
              <w:spacing w:after="0" w:line="240" w:lineRule="auto"/>
              <w:contextualSpacing/>
              <w:jc w:val="center"/>
              <w:rPr>
                <w:rFonts w:asciiTheme="majorBidi" w:hAnsiTheme="majorBidi" w:cstheme="majorBidi"/>
                <w:iCs/>
                <w:sz w:val="16"/>
                <w:szCs w:val="16"/>
                <w:lang w:bidi="fa-IR"/>
              </w:rPr>
            </w:pPr>
            <w:r>
              <w:rPr>
                <w:rFonts w:asciiTheme="majorBidi" w:hAnsiTheme="majorBidi" w:cstheme="majorBidi"/>
                <w:iCs/>
                <w:sz w:val="16"/>
                <w:szCs w:val="16"/>
                <w:lang w:bidi="fa-IR"/>
              </w:rPr>
              <w:t>5.89 (0.00)</w:t>
            </w:r>
          </w:p>
        </w:tc>
      </w:tr>
    </w:tbl>
    <w:p w14:paraId="58F5788B" w14:textId="77777777" w:rsidR="00DD14E1" w:rsidRDefault="00DD14E1" w:rsidP="009D476F">
      <w:pPr>
        <w:pStyle w:val="Default"/>
        <w:jc w:val="both"/>
        <w:rPr>
          <w:color w:val="auto"/>
          <w:sz w:val="22"/>
          <w:szCs w:val="22"/>
        </w:rPr>
      </w:pPr>
    </w:p>
    <w:p w14:paraId="685D3B72" w14:textId="23DC6402" w:rsidR="00784DE9" w:rsidRPr="009D476F" w:rsidRDefault="003F64AB" w:rsidP="009D476F">
      <w:pPr>
        <w:pStyle w:val="Default"/>
        <w:jc w:val="both"/>
        <w:rPr>
          <w:color w:val="auto"/>
          <w:sz w:val="22"/>
          <w:szCs w:val="22"/>
        </w:rPr>
      </w:pPr>
      <w:r w:rsidRPr="003F64AB">
        <w:rPr>
          <w:color w:val="auto"/>
          <w:sz w:val="22"/>
          <w:szCs w:val="22"/>
        </w:rPr>
        <w:t xml:space="preserve">According to the results of the above table, all the estimated coefficients are statistically significant at the confidence level of 95% and more, and their signs are also in line with expectations. The obtained coefficient for liquidity is positive in the studied model. Since this variable is a stochastic variable, in addition to its short-run effect on inflation, it can increase inflation in a steady state. The impact of the exchange rate on core inflation is also positive, which is the reason for the reaction of inflation to the exchange rate in the short and long term. Therefore, the depreciation of the national currency in the long run causes an increase in core inflation. However, the coefficient of GDP on core inflation is negative. Since an increase in the supply of goods and services in the long term leads to a decrease in inflation, this negative relationship indicates that improving economic growth is a factor in reducing core inflation. Based on the results obtained from the coefficient of exchange rate fluctuations in the studied model, it is also positive and statistically </w:t>
      </w:r>
      <w:r w:rsidRPr="003F64AB">
        <w:rPr>
          <w:color w:val="auto"/>
          <w:sz w:val="22"/>
          <w:szCs w:val="22"/>
        </w:rPr>
        <w:lastRenderedPageBreak/>
        <w:t>significant. Thus, the impact of exchange rate fluctuations on core inflation is confirmed, which indicates that the deviation of the exchange rate from its steady value causes a change in core inflation. In this regard, increasing the exchange rate (decreasing the value of the national currency) from its stable value can increase inflation in the short and long run.</w:t>
      </w:r>
    </w:p>
    <w:p w14:paraId="0FD0AAAD" w14:textId="77777777" w:rsidR="00DD14E1" w:rsidRDefault="00DD14E1" w:rsidP="009A3F32">
      <w:pPr>
        <w:pStyle w:val="Default"/>
        <w:rPr>
          <w:b/>
          <w:bCs/>
          <w:sz w:val="22"/>
          <w:szCs w:val="22"/>
        </w:rPr>
      </w:pPr>
    </w:p>
    <w:p w14:paraId="54AAD468" w14:textId="5C1E41D7" w:rsidR="009A3F32" w:rsidRPr="00491104" w:rsidRDefault="009A3F32" w:rsidP="009A3F32">
      <w:pPr>
        <w:pStyle w:val="Default"/>
        <w:rPr>
          <w:sz w:val="22"/>
          <w:szCs w:val="22"/>
        </w:rPr>
      </w:pPr>
      <w:r w:rsidRPr="00491104">
        <w:rPr>
          <w:b/>
          <w:bCs/>
          <w:sz w:val="22"/>
          <w:szCs w:val="22"/>
        </w:rPr>
        <w:t xml:space="preserve">CONCLUSION </w:t>
      </w:r>
    </w:p>
    <w:p w14:paraId="59F1C6A6" w14:textId="082AD582" w:rsidR="00784DE9" w:rsidRPr="007A317D" w:rsidRDefault="009D476F" w:rsidP="009D476F">
      <w:pPr>
        <w:pStyle w:val="Default"/>
        <w:jc w:val="both"/>
        <w:rPr>
          <w:color w:val="FF0000"/>
          <w:sz w:val="22"/>
          <w:szCs w:val="22"/>
        </w:rPr>
      </w:pPr>
      <w:r w:rsidRPr="009D476F">
        <w:rPr>
          <w:color w:val="auto"/>
          <w:sz w:val="22"/>
          <w:szCs w:val="22"/>
        </w:rPr>
        <w:t>Based on the results of this study, there is a significant difference in most of the investigated times between the rates of the core inflation and the realized inflation, which has caused large inflationary deviations from the core inflation. Also, there is a mutual and significant relationship between the variables of exchange rate fluctuations and inflationary deviations, which confirms the influence of these variables on each other. The results obtained from the estimation of the core inflation model show that the impacts of liquidity and exchange rate on core inflation are positive and statistically significant. Nonetheless, the GDP coefficient was negative and statistically significant in the studied model, which confirms the decrease in core inflation with the increase in production. The results obtained from the coefficient of exchange rate fluctuations in this model also show the positive impact of this variable on core inflation. According to the coefficient of this variable in this model and the model in which the mutual effects of exchange rate fluctuations and inflation deviations were confirmed, the increase of exchange rate fluctuations has a short-run and long-run impact on the inflation rate.</w:t>
      </w:r>
      <w:r w:rsidR="009A3F32" w:rsidRPr="009D476F">
        <w:rPr>
          <w:color w:val="FF0000"/>
          <w:sz w:val="22"/>
          <w:szCs w:val="22"/>
        </w:rPr>
        <w:t xml:space="preserve"> </w:t>
      </w:r>
    </w:p>
    <w:p w14:paraId="04B6FF1E" w14:textId="77777777" w:rsidR="00DD14E1" w:rsidRDefault="00DD14E1" w:rsidP="0002155A">
      <w:pPr>
        <w:spacing w:after="0" w:line="240" w:lineRule="auto"/>
        <w:jc w:val="both"/>
        <w:rPr>
          <w:rFonts w:ascii="Times New Roman" w:hAnsi="Times New Roman" w:cs="Times New Roman"/>
          <w:b/>
          <w:bCs/>
        </w:rPr>
      </w:pPr>
    </w:p>
    <w:p w14:paraId="6677F429" w14:textId="0D868C3D" w:rsidR="009A3F32" w:rsidRPr="00DD14E1" w:rsidRDefault="00DD14E1" w:rsidP="0002155A">
      <w:pPr>
        <w:spacing w:after="0" w:line="240" w:lineRule="auto"/>
        <w:jc w:val="both"/>
        <w:rPr>
          <w:rFonts w:ascii="Times New Roman" w:hAnsi="Times New Roman" w:cs="Times New Roman"/>
          <w:b/>
          <w:bCs/>
          <w:sz w:val="24"/>
          <w:szCs w:val="24"/>
          <w:lang w:bidi="fa-IR"/>
        </w:rPr>
      </w:pPr>
      <w:r w:rsidRPr="00DD14E1">
        <w:rPr>
          <w:rFonts w:ascii="Times New Roman" w:hAnsi="Times New Roman" w:cs="Times New Roman"/>
          <w:b/>
          <w:bCs/>
          <w:sz w:val="24"/>
          <w:szCs w:val="24"/>
        </w:rPr>
        <w:t>References</w:t>
      </w:r>
    </w:p>
    <w:p w14:paraId="4CA64128"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Aboulhassani, A.,  Shaygani, B., &amp; Zandian, Z. (2020). The effect of interest rate and exchange rate on inflation targeting with heterogeneous inflation expectations approach. </w:t>
      </w:r>
      <w:r w:rsidRPr="009E331E">
        <w:rPr>
          <w:rFonts w:asciiTheme="majorBidi" w:hAnsiTheme="majorBidi" w:cstheme="majorBidi"/>
          <w:i/>
          <w:iCs/>
          <w:szCs w:val="22"/>
        </w:rPr>
        <w:t>Journal of Econometric Modelling</w:t>
      </w:r>
      <w:r w:rsidRPr="009E331E">
        <w:rPr>
          <w:rFonts w:asciiTheme="majorBidi" w:hAnsiTheme="majorBidi" w:cstheme="majorBidi"/>
          <w:szCs w:val="22"/>
        </w:rPr>
        <w:t>, 5(1), 87-110. doi: 10.22075/jem.2020.18166.1338 [In Persian]</w:t>
      </w:r>
    </w:p>
    <w:p w14:paraId="211E71ED"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Abdi Seyyedkolaee, M., Tehranchian, A. M., Jafari Samimi, A., &amp; Favero, G. (2022). Non-linear Response of Inflation: A Real Effective Exchange Rate in Iran. </w:t>
      </w:r>
      <w:r w:rsidRPr="009E331E">
        <w:rPr>
          <w:rFonts w:asciiTheme="majorBidi" w:hAnsiTheme="majorBidi" w:cstheme="majorBidi"/>
          <w:i/>
          <w:iCs/>
          <w:szCs w:val="22"/>
        </w:rPr>
        <w:t>Quarterly Journal of Quantitative Economics</w:t>
      </w:r>
      <w:r w:rsidRPr="009E331E">
        <w:rPr>
          <w:rFonts w:asciiTheme="majorBidi" w:hAnsiTheme="majorBidi" w:cstheme="majorBidi"/>
          <w:szCs w:val="22"/>
        </w:rPr>
        <w:t>, </w:t>
      </w:r>
      <w:r w:rsidRPr="009E331E">
        <w:rPr>
          <w:rFonts w:asciiTheme="majorBidi" w:hAnsiTheme="majorBidi" w:cstheme="majorBidi"/>
          <w:i/>
          <w:iCs/>
          <w:szCs w:val="22"/>
        </w:rPr>
        <w:t>19</w:t>
      </w:r>
      <w:r w:rsidRPr="009E331E">
        <w:rPr>
          <w:rFonts w:asciiTheme="majorBidi" w:hAnsiTheme="majorBidi" w:cstheme="majorBidi"/>
          <w:szCs w:val="22"/>
        </w:rPr>
        <w:t>(1), 53-71. doi: 10.22055/jqe.2021.33724.2251</w:t>
      </w:r>
      <w:r>
        <w:rPr>
          <w:rFonts w:asciiTheme="majorBidi" w:hAnsiTheme="majorBidi" w:cstheme="majorBidi"/>
          <w:szCs w:val="22"/>
        </w:rPr>
        <w:t xml:space="preserve"> </w:t>
      </w:r>
      <w:r w:rsidRPr="009E331E">
        <w:rPr>
          <w:rFonts w:asciiTheme="majorBidi" w:hAnsiTheme="majorBidi" w:cstheme="majorBidi"/>
          <w:szCs w:val="22"/>
        </w:rPr>
        <w:t>[In Persian]</w:t>
      </w:r>
    </w:p>
    <w:p w14:paraId="28055522"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Agenor, P. R., &amp; Montiel, P. J. (1996). </w:t>
      </w:r>
      <w:r w:rsidRPr="009E331E">
        <w:rPr>
          <w:rFonts w:asciiTheme="majorBidi" w:hAnsiTheme="majorBidi" w:cstheme="majorBidi"/>
          <w:i/>
          <w:iCs/>
          <w:szCs w:val="22"/>
        </w:rPr>
        <w:t>Development macroeconomics</w:t>
      </w:r>
      <w:r w:rsidRPr="009E331E">
        <w:rPr>
          <w:rFonts w:asciiTheme="majorBidi" w:hAnsiTheme="majorBidi" w:cstheme="majorBidi"/>
          <w:szCs w:val="22"/>
        </w:rPr>
        <w:t>. 3rd Edition: Princeton University Press.</w:t>
      </w:r>
    </w:p>
    <w:p w14:paraId="6F9FD07E" w14:textId="77777777" w:rsidR="00E234D5" w:rsidRPr="009E331E" w:rsidRDefault="00E234D5" w:rsidP="00E234D5">
      <w:pPr>
        <w:spacing w:after="0" w:line="240" w:lineRule="auto"/>
        <w:ind w:left="567" w:hanging="567"/>
        <w:contextualSpacing/>
        <w:jc w:val="both"/>
        <w:rPr>
          <w:rFonts w:asciiTheme="majorBidi" w:hAnsiTheme="majorBidi" w:cstheme="majorBidi"/>
          <w:noProof/>
          <w:sz w:val="22"/>
          <w:szCs w:val="22"/>
        </w:rPr>
      </w:pPr>
      <w:r w:rsidRPr="009E331E">
        <w:rPr>
          <w:rFonts w:asciiTheme="majorBidi" w:hAnsiTheme="majorBidi" w:cstheme="majorBidi"/>
          <w:noProof/>
          <w:sz w:val="22"/>
          <w:szCs w:val="22"/>
        </w:rPr>
        <w:t xml:space="preserve">Andres, J., </w:t>
      </w:r>
      <w:r w:rsidRPr="009E331E">
        <w:rPr>
          <w:rFonts w:asciiTheme="majorBidi" w:hAnsiTheme="majorBidi" w:cstheme="majorBidi"/>
          <w:noProof/>
          <w:sz w:val="22"/>
          <w:szCs w:val="22"/>
          <w:rtl/>
        </w:rPr>
        <w:t>&amp;</w:t>
      </w:r>
      <w:r w:rsidRPr="009E331E">
        <w:rPr>
          <w:rFonts w:asciiTheme="majorBidi" w:hAnsiTheme="majorBidi" w:cstheme="majorBidi"/>
          <w:noProof/>
          <w:sz w:val="22"/>
          <w:szCs w:val="22"/>
        </w:rPr>
        <w:t xml:space="preserve"> Hernando, I. </w:t>
      </w:r>
      <w:r w:rsidRPr="009E331E">
        <w:rPr>
          <w:rFonts w:asciiTheme="majorBidi" w:hAnsiTheme="majorBidi" w:cstheme="majorBidi"/>
          <w:noProof/>
          <w:sz w:val="22"/>
          <w:szCs w:val="22"/>
          <w:rtl/>
        </w:rPr>
        <w:t>)</w:t>
      </w:r>
      <w:r w:rsidRPr="009E331E">
        <w:rPr>
          <w:rFonts w:asciiTheme="majorBidi" w:hAnsiTheme="majorBidi" w:cstheme="majorBidi"/>
          <w:noProof/>
          <w:sz w:val="22"/>
          <w:szCs w:val="22"/>
        </w:rPr>
        <w:t>1997</w:t>
      </w:r>
      <w:r w:rsidRPr="009E331E">
        <w:rPr>
          <w:rFonts w:asciiTheme="majorBidi" w:hAnsiTheme="majorBidi" w:cstheme="majorBidi"/>
          <w:noProof/>
          <w:sz w:val="22"/>
          <w:szCs w:val="22"/>
          <w:rtl/>
        </w:rPr>
        <w:t>(</w:t>
      </w:r>
      <w:r w:rsidRPr="009E331E">
        <w:rPr>
          <w:rFonts w:asciiTheme="majorBidi" w:hAnsiTheme="majorBidi" w:cstheme="majorBidi"/>
          <w:noProof/>
          <w:sz w:val="22"/>
          <w:szCs w:val="22"/>
        </w:rPr>
        <w:t>. Inflation and economic growth: Some evidence for the OECD countries.</w:t>
      </w:r>
      <w:r w:rsidRPr="009E331E">
        <w:rPr>
          <w:rFonts w:asciiTheme="majorBidi" w:hAnsiTheme="majorBidi" w:cstheme="majorBidi"/>
          <w:noProof/>
          <w:sz w:val="22"/>
          <w:szCs w:val="22"/>
          <w:rtl/>
        </w:rPr>
        <w:t xml:space="preserve"> </w:t>
      </w:r>
      <w:r w:rsidRPr="009E331E">
        <w:rPr>
          <w:rFonts w:asciiTheme="majorBidi" w:hAnsiTheme="majorBidi" w:cstheme="majorBidi"/>
          <w:i/>
          <w:iCs/>
          <w:noProof/>
          <w:sz w:val="22"/>
          <w:szCs w:val="22"/>
        </w:rPr>
        <w:t>In Monetary Policy and the Inflation Process-BIS Conference Papers</w:t>
      </w:r>
      <w:r w:rsidRPr="009E331E">
        <w:rPr>
          <w:rFonts w:asciiTheme="majorBidi" w:hAnsiTheme="majorBidi" w:cstheme="majorBidi"/>
          <w:noProof/>
          <w:sz w:val="22"/>
          <w:szCs w:val="22"/>
        </w:rPr>
        <w:t>, 4, 364-383. Bank for</w:t>
      </w:r>
      <w:r w:rsidRPr="009E331E">
        <w:rPr>
          <w:rFonts w:asciiTheme="majorBidi" w:hAnsiTheme="majorBidi" w:cstheme="majorBidi"/>
          <w:noProof/>
          <w:sz w:val="22"/>
          <w:szCs w:val="22"/>
          <w:rtl/>
        </w:rPr>
        <w:t xml:space="preserve"> </w:t>
      </w:r>
      <w:r w:rsidRPr="009E331E">
        <w:rPr>
          <w:rFonts w:asciiTheme="majorBidi" w:hAnsiTheme="majorBidi" w:cstheme="majorBidi"/>
          <w:noProof/>
          <w:sz w:val="22"/>
          <w:szCs w:val="22"/>
        </w:rPr>
        <w:t>International Settlements, Basel, Switzerland.</w:t>
      </w:r>
    </w:p>
    <w:p w14:paraId="610E5520"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lastRenderedPageBreak/>
        <w:t xml:space="preserve">Bahmani-Oskooee, M., &amp; Nasir, A. (2015). Purchasing power parity and the law of one price: Evidence from commodity prices in Asian countries. </w:t>
      </w:r>
      <w:r w:rsidRPr="009E331E">
        <w:rPr>
          <w:rFonts w:asciiTheme="majorBidi" w:hAnsiTheme="majorBidi" w:cstheme="majorBidi"/>
          <w:i/>
          <w:iCs/>
          <w:szCs w:val="22"/>
        </w:rPr>
        <w:t>Global Economy Journal</w:t>
      </w:r>
      <w:r w:rsidRPr="009E331E">
        <w:rPr>
          <w:rFonts w:asciiTheme="majorBidi" w:hAnsiTheme="majorBidi" w:cstheme="majorBidi"/>
          <w:szCs w:val="22"/>
        </w:rPr>
        <w:t>, 15(2), 231-240.</w:t>
      </w:r>
    </w:p>
    <w:p w14:paraId="7DE4A76E"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Banerjee, A. J., Dolado, J., &amp; Mester, R. (1992). On some simple tests for cointegration: The cost of simplicity. </w:t>
      </w:r>
      <w:r w:rsidRPr="009E331E">
        <w:rPr>
          <w:rFonts w:asciiTheme="majorBidi" w:hAnsiTheme="majorBidi" w:cstheme="majorBidi"/>
          <w:i/>
          <w:iCs/>
          <w:szCs w:val="22"/>
        </w:rPr>
        <w:t>Bank of Spain</w:t>
      </w:r>
      <w:r w:rsidRPr="009E331E">
        <w:rPr>
          <w:rFonts w:asciiTheme="majorBidi" w:hAnsiTheme="majorBidi" w:cstheme="majorBidi"/>
          <w:szCs w:val="22"/>
        </w:rPr>
        <w:t>, Working Paper, 9302.</w:t>
      </w:r>
    </w:p>
    <w:p w14:paraId="47F81C00"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Barro, R. J. (1997). </w:t>
      </w:r>
      <w:r w:rsidRPr="009E331E">
        <w:rPr>
          <w:rFonts w:asciiTheme="majorBidi" w:hAnsiTheme="majorBidi" w:cstheme="majorBidi"/>
          <w:i/>
          <w:szCs w:val="22"/>
        </w:rPr>
        <w:t>Macroeconomics</w:t>
      </w:r>
      <w:r w:rsidRPr="009E331E">
        <w:rPr>
          <w:rFonts w:asciiTheme="majorBidi" w:hAnsiTheme="majorBidi" w:cstheme="majorBidi"/>
          <w:iCs/>
          <w:szCs w:val="22"/>
        </w:rPr>
        <w:t>. 5th Edition</w:t>
      </w:r>
      <w:r w:rsidRPr="009E331E">
        <w:rPr>
          <w:rFonts w:asciiTheme="majorBidi" w:hAnsiTheme="majorBidi" w:cstheme="majorBidi"/>
          <w:szCs w:val="22"/>
        </w:rPr>
        <w:t>: MIT Press.</w:t>
      </w:r>
    </w:p>
    <w:p w14:paraId="1456FB5A"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Box, G., &amp; Jenkins, G. (1970). </w:t>
      </w:r>
      <w:r w:rsidRPr="009E331E">
        <w:rPr>
          <w:rFonts w:asciiTheme="majorBidi" w:hAnsiTheme="majorBidi" w:cstheme="majorBidi"/>
          <w:i/>
          <w:iCs/>
          <w:szCs w:val="22"/>
        </w:rPr>
        <w:t>Time series analysis: Forecasting and control</w:t>
      </w:r>
      <w:r w:rsidRPr="009E331E">
        <w:rPr>
          <w:rFonts w:asciiTheme="majorBidi" w:hAnsiTheme="majorBidi" w:cstheme="majorBidi"/>
          <w:szCs w:val="22"/>
        </w:rPr>
        <w:t>. Holden-Day.</w:t>
      </w:r>
    </w:p>
    <w:p w14:paraId="67F56CE1"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Boyd, J. H., Levine, R., &amp; Smith, B. D. (2001). The impact of inflation on financial sector performance. </w:t>
      </w:r>
      <w:r w:rsidRPr="009E331E">
        <w:rPr>
          <w:rFonts w:asciiTheme="majorBidi" w:hAnsiTheme="majorBidi" w:cstheme="majorBidi"/>
          <w:i/>
          <w:iCs/>
          <w:szCs w:val="22"/>
        </w:rPr>
        <w:t>Journal of Monetary Economics</w:t>
      </w:r>
      <w:r w:rsidRPr="009E331E">
        <w:rPr>
          <w:rFonts w:asciiTheme="majorBidi" w:hAnsiTheme="majorBidi" w:cstheme="majorBidi"/>
          <w:szCs w:val="22"/>
        </w:rPr>
        <w:t>, 47(2), 221-248.</w:t>
      </w:r>
    </w:p>
    <w:p w14:paraId="4D5EF4FD"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Bruno, M. (1993). Inflation and growth in an integrated approach. </w:t>
      </w:r>
      <w:r w:rsidRPr="009E331E">
        <w:rPr>
          <w:rFonts w:asciiTheme="majorBidi" w:hAnsiTheme="majorBidi" w:cstheme="majorBidi"/>
          <w:i/>
          <w:iCs/>
          <w:szCs w:val="22"/>
        </w:rPr>
        <w:t>NBER Working Paper</w:t>
      </w:r>
      <w:r w:rsidRPr="009E331E">
        <w:rPr>
          <w:rFonts w:asciiTheme="majorBidi" w:hAnsiTheme="majorBidi" w:cstheme="majorBidi"/>
          <w:szCs w:val="22"/>
        </w:rPr>
        <w:t>, 4422.</w:t>
      </w:r>
    </w:p>
    <w:p w14:paraId="4EE97469"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 xml:space="preserve">Case, K. E., Fair, R. C., &amp; Oster, S. M. (2020).  </w:t>
      </w:r>
      <w:r w:rsidRPr="009E331E">
        <w:rPr>
          <w:rFonts w:asciiTheme="majorBidi" w:hAnsiTheme="majorBidi" w:cstheme="majorBidi"/>
          <w:i/>
          <w:iCs/>
          <w:szCs w:val="22"/>
        </w:rPr>
        <w:t>Principles of economics</w:t>
      </w:r>
      <w:r w:rsidRPr="009E331E">
        <w:rPr>
          <w:rFonts w:asciiTheme="majorBidi" w:hAnsiTheme="majorBidi" w:cstheme="majorBidi"/>
          <w:szCs w:val="22"/>
        </w:rPr>
        <w:t>. 13</w:t>
      </w:r>
      <w:r w:rsidRPr="009E331E">
        <w:rPr>
          <w:rFonts w:asciiTheme="majorBidi" w:hAnsiTheme="majorBidi" w:cstheme="majorBidi"/>
          <w:szCs w:val="22"/>
          <w:vertAlign w:val="superscript"/>
        </w:rPr>
        <w:t>th</w:t>
      </w:r>
      <w:r w:rsidRPr="009E331E">
        <w:rPr>
          <w:rFonts w:asciiTheme="majorBidi" w:hAnsiTheme="majorBidi" w:cstheme="majorBidi"/>
          <w:szCs w:val="22"/>
        </w:rPr>
        <w:t xml:space="preserve"> </w:t>
      </w:r>
      <w:r w:rsidRPr="009E331E">
        <w:rPr>
          <w:rFonts w:asciiTheme="majorBidi" w:hAnsiTheme="majorBidi" w:cstheme="majorBidi"/>
          <w:iCs/>
          <w:szCs w:val="22"/>
        </w:rPr>
        <w:t>Edition: Pearson.</w:t>
      </w:r>
    </w:p>
    <w:p w14:paraId="6D23CC90"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De Gregorio, J. (1993). Inflation, taxation, and long-run growth. </w:t>
      </w:r>
      <w:r w:rsidRPr="009E331E">
        <w:rPr>
          <w:rFonts w:asciiTheme="majorBidi" w:hAnsiTheme="majorBidi" w:cstheme="majorBidi"/>
          <w:i/>
          <w:szCs w:val="22"/>
        </w:rPr>
        <w:t>Journal of Monetary Economics</w:t>
      </w:r>
      <w:r w:rsidRPr="009E331E">
        <w:rPr>
          <w:rFonts w:asciiTheme="majorBidi" w:hAnsiTheme="majorBidi" w:cstheme="majorBidi"/>
          <w:iCs/>
          <w:szCs w:val="22"/>
        </w:rPr>
        <w:t>, 31(3), 271-298.</w:t>
      </w:r>
    </w:p>
    <w:p w14:paraId="116BAA26"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Devia, S. S. V. (2019). The correlation of exchange rate and inflation and its effect on stock markets: Case study on consumer good index Indonesia: 2004-2017. </w:t>
      </w:r>
      <w:r w:rsidRPr="009E331E">
        <w:rPr>
          <w:rFonts w:asciiTheme="majorBidi" w:hAnsiTheme="majorBidi" w:cstheme="majorBidi"/>
          <w:i/>
          <w:szCs w:val="22"/>
        </w:rPr>
        <w:t>Academic Journal of Economic Studies</w:t>
      </w:r>
      <w:r w:rsidRPr="009E331E">
        <w:rPr>
          <w:rFonts w:asciiTheme="majorBidi" w:hAnsiTheme="majorBidi" w:cstheme="majorBidi"/>
          <w:iCs/>
          <w:szCs w:val="22"/>
        </w:rPr>
        <w:t>, 5(2), 32-44.</w:t>
      </w:r>
    </w:p>
    <w:p w14:paraId="6A6B34C4" w14:textId="77777777" w:rsidR="00E234D5"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Dickey, D. A., &amp; Fuller, W. A. (1981). Likelihood ratio statistics for autoregressive time series with a unit root. </w:t>
      </w:r>
      <w:r w:rsidRPr="009E331E">
        <w:rPr>
          <w:rFonts w:asciiTheme="majorBidi" w:hAnsiTheme="majorBidi" w:cstheme="majorBidi"/>
          <w:i/>
          <w:szCs w:val="22"/>
        </w:rPr>
        <w:t>Econometrica</w:t>
      </w:r>
      <w:r w:rsidRPr="009E331E">
        <w:rPr>
          <w:rFonts w:asciiTheme="majorBidi" w:hAnsiTheme="majorBidi" w:cstheme="majorBidi"/>
          <w:iCs/>
          <w:szCs w:val="22"/>
        </w:rPr>
        <w:t>, 49(4), 1057-1072.</w:t>
      </w:r>
    </w:p>
    <w:p w14:paraId="2DD42F8D"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Pr>
          <w:rFonts w:asciiTheme="majorBidi" w:hAnsiTheme="majorBidi" w:cstheme="majorBidi"/>
          <w:iCs/>
          <w:szCs w:val="22"/>
        </w:rPr>
        <w:t>D</w:t>
      </w:r>
      <w:r w:rsidRPr="0024011A">
        <w:rPr>
          <w:rFonts w:asciiTheme="majorBidi" w:hAnsiTheme="majorBidi" w:cstheme="majorBidi"/>
          <w:iCs/>
          <w:szCs w:val="22"/>
        </w:rPr>
        <w:t>usti, H. , Alizadeh, M. , Isazadeh, S. and Delfan, M. (2025). Long-term relationship and asymmetric effects of inflation and exchange rates shocks on the minimum wage in Iran: Nonlinear ARDL approach. </w:t>
      </w:r>
      <w:r w:rsidRPr="0024011A">
        <w:rPr>
          <w:rFonts w:asciiTheme="majorBidi" w:hAnsiTheme="majorBidi" w:cstheme="majorBidi"/>
          <w:i/>
          <w:iCs/>
          <w:szCs w:val="22"/>
        </w:rPr>
        <w:t>Quarterly Journal of Quantitative Economics (JQE)</w:t>
      </w:r>
      <w:r w:rsidRPr="0024011A">
        <w:rPr>
          <w:rFonts w:asciiTheme="majorBidi" w:hAnsiTheme="majorBidi" w:cstheme="majorBidi"/>
          <w:iCs/>
          <w:szCs w:val="22"/>
        </w:rPr>
        <w:t>, </w:t>
      </w:r>
      <w:r w:rsidRPr="0024011A">
        <w:rPr>
          <w:rFonts w:asciiTheme="majorBidi" w:hAnsiTheme="majorBidi" w:cstheme="majorBidi"/>
          <w:i/>
          <w:iCs/>
          <w:szCs w:val="22"/>
        </w:rPr>
        <w:t>22</w:t>
      </w:r>
      <w:r w:rsidRPr="0024011A">
        <w:rPr>
          <w:rFonts w:asciiTheme="majorBidi" w:hAnsiTheme="majorBidi" w:cstheme="majorBidi"/>
          <w:iCs/>
          <w:szCs w:val="22"/>
        </w:rPr>
        <w:t>(2), 42-81. doi: 10.22055/jqe.2023.40806.2484</w:t>
      </w:r>
      <w:r>
        <w:rPr>
          <w:rFonts w:asciiTheme="majorBidi" w:hAnsiTheme="majorBidi" w:cstheme="majorBidi"/>
          <w:iCs/>
          <w:szCs w:val="22"/>
        </w:rPr>
        <w:t xml:space="preserve"> (in Persian).</w:t>
      </w:r>
    </w:p>
    <w:p w14:paraId="403100BA"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Easterly, W., &amp; Fischer, S. (2001). Inflation and the poor. </w:t>
      </w:r>
      <w:r w:rsidRPr="009E331E">
        <w:rPr>
          <w:rFonts w:asciiTheme="majorBidi" w:hAnsiTheme="majorBidi" w:cstheme="majorBidi"/>
          <w:i/>
          <w:szCs w:val="22"/>
        </w:rPr>
        <w:t>Journal of Money, Credit and Banking</w:t>
      </w:r>
      <w:r w:rsidRPr="009E331E">
        <w:rPr>
          <w:rFonts w:asciiTheme="majorBidi" w:hAnsiTheme="majorBidi" w:cstheme="majorBidi"/>
          <w:iCs/>
          <w:szCs w:val="22"/>
        </w:rPr>
        <w:t>, 33(2), 160-178.</w:t>
      </w:r>
    </w:p>
    <w:p w14:paraId="32F5A481"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Farzam, V., Sattari, O., &amp; Mirali, F. (2013). Investigating and predicting the effects of uncertainty caused by the recent currency crisis on banks and financial institutions stock index. </w:t>
      </w:r>
      <w:r w:rsidRPr="009E331E">
        <w:rPr>
          <w:rFonts w:asciiTheme="majorBidi" w:hAnsiTheme="majorBidi" w:cstheme="majorBidi"/>
          <w:i/>
          <w:szCs w:val="22"/>
        </w:rPr>
        <w:t>Quarterly Journal of Quantitative Economics</w:t>
      </w:r>
      <w:r w:rsidRPr="009E331E">
        <w:rPr>
          <w:rFonts w:asciiTheme="majorBidi" w:hAnsiTheme="majorBidi" w:cstheme="majorBidi"/>
          <w:iCs/>
          <w:szCs w:val="22"/>
        </w:rPr>
        <w:t xml:space="preserve">, 10(3), 55-83. doi: 10.22055/jqe.2013.11407 </w:t>
      </w:r>
      <w:r w:rsidRPr="009E331E">
        <w:rPr>
          <w:rFonts w:asciiTheme="majorBidi" w:hAnsiTheme="majorBidi" w:cstheme="majorBidi"/>
          <w:szCs w:val="22"/>
        </w:rPr>
        <w:t>[In Persian]</w:t>
      </w:r>
    </w:p>
    <w:p w14:paraId="14B4C6E7"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Foad, H. S. (2005). Exchange rate volatility and export oriented FDI. </w:t>
      </w:r>
      <w:r w:rsidRPr="009E331E">
        <w:rPr>
          <w:rFonts w:asciiTheme="majorBidi" w:hAnsiTheme="majorBidi" w:cstheme="majorBidi"/>
          <w:i/>
          <w:szCs w:val="22"/>
        </w:rPr>
        <w:t>Emory University Working Paper</w:t>
      </w:r>
      <w:r w:rsidRPr="009E331E">
        <w:rPr>
          <w:rFonts w:asciiTheme="majorBidi" w:hAnsiTheme="majorBidi" w:cstheme="majorBidi"/>
          <w:iCs/>
          <w:szCs w:val="22"/>
        </w:rPr>
        <w:t>, Atlanta, GA, 2-7.</w:t>
      </w:r>
    </w:p>
    <w:p w14:paraId="763F3DD1"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tl/>
        </w:rPr>
      </w:pPr>
      <w:r w:rsidRPr="009E331E">
        <w:rPr>
          <w:rFonts w:asciiTheme="majorBidi" w:hAnsiTheme="majorBidi" w:cstheme="majorBidi"/>
          <w:szCs w:val="22"/>
        </w:rPr>
        <w:lastRenderedPageBreak/>
        <w:t xml:space="preserve">Gaffeo, E., &amp; Canzian, G. (2011). The psychology of inflation, monetary policy and macroeconomic instability. </w:t>
      </w:r>
      <w:r w:rsidRPr="009E331E">
        <w:rPr>
          <w:rFonts w:asciiTheme="majorBidi" w:hAnsiTheme="majorBidi" w:cstheme="majorBidi"/>
          <w:i/>
          <w:iCs/>
          <w:szCs w:val="22"/>
        </w:rPr>
        <w:t>Journal of Socio-Economics</w:t>
      </w:r>
      <w:r w:rsidRPr="009E331E">
        <w:rPr>
          <w:rFonts w:asciiTheme="majorBidi" w:hAnsiTheme="majorBidi" w:cstheme="majorBidi"/>
          <w:szCs w:val="22"/>
        </w:rPr>
        <w:t>, 40(5), 660-670.</w:t>
      </w:r>
    </w:p>
    <w:p w14:paraId="73337A14"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 xml:space="preserve">Gil-Alana, L. A., Dadgar, Y., &amp; Nazari, R. (2019). Iranian inflation: Peristence and structural breaks. </w:t>
      </w:r>
      <w:r w:rsidRPr="009E331E">
        <w:rPr>
          <w:rFonts w:asciiTheme="majorBidi" w:hAnsiTheme="majorBidi" w:cstheme="majorBidi"/>
          <w:i/>
          <w:szCs w:val="22"/>
        </w:rPr>
        <w:t>Journal of Economics and Finance, 43</w:t>
      </w:r>
      <w:r w:rsidRPr="009E331E">
        <w:rPr>
          <w:rFonts w:asciiTheme="majorBidi" w:hAnsiTheme="majorBidi" w:cstheme="majorBidi"/>
          <w:szCs w:val="22"/>
        </w:rPr>
        <w:t>, 398-408.</w:t>
      </w:r>
    </w:p>
    <w:p w14:paraId="18DF348C"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Granger, C. W. J. (1969). Investigating causal relations by econometric models and cross-spectral methods. </w:t>
      </w:r>
      <w:r w:rsidRPr="009E331E">
        <w:rPr>
          <w:rFonts w:asciiTheme="majorBidi" w:hAnsiTheme="majorBidi" w:cstheme="majorBidi"/>
          <w:i/>
          <w:szCs w:val="22"/>
        </w:rPr>
        <w:t>Econometrica</w:t>
      </w:r>
      <w:r w:rsidRPr="009E331E">
        <w:rPr>
          <w:rFonts w:asciiTheme="majorBidi" w:hAnsiTheme="majorBidi" w:cstheme="majorBidi"/>
          <w:iCs/>
          <w:szCs w:val="22"/>
        </w:rPr>
        <w:t>, 37(3), 424-438.</w:t>
      </w:r>
    </w:p>
    <w:p w14:paraId="45EFAC43"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Hodrick, R. J., &amp; Prescott, E. C. (1997). Postwar U.S. business cycles: An empirical investigation. </w:t>
      </w:r>
      <w:r w:rsidRPr="009E331E">
        <w:rPr>
          <w:rFonts w:asciiTheme="majorBidi" w:hAnsiTheme="majorBidi" w:cstheme="majorBidi"/>
          <w:i/>
          <w:szCs w:val="22"/>
        </w:rPr>
        <w:t>Journal of Money, Credit, and Banking</w:t>
      </w:r>
      <w:r w:rsidRPr="009E331E">
        <w:rPr>
          <w:rFonts w:asciiTheme="majorBidi" w:hAnsiTheme="majorBidi" w:cstheme="majorBidi"/>
          <w:iCs/>
          <w:szCs w:val="22"/>
        </w:rPr>
        <w:t>, 29, 1-16.</w:t>
      </w:r>
    </w:p>
    <w:p w14:paraId="16B0522C"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Ilmas, N., Amelia, M., &amp; Risandi, R. (2022). Analysis of the effect of inflation and exchange rate on exports in 5-years Asean countries (years 2010-2020). </w:t>
      </w:r>
      <w:r w:rsidRPr="009E331E">
        <w:rPr>
          <w:rFonts w:asciiTheme="majorBidi" w:hAnsiTheme="majorBidi" w:cstheme="majorBidi"/>
          <w:i/>
          <w:szCs w:val="22"/>
        </w:rPr>
        <w:t>Jurnal Ekonomi Trisakti</w:t>
      </w:r>
      <w:r w:rsidRPr="009E331E">
        <w:rPr>
          <w:rFonts w:asciiTheme="majorBidi" w:hAnsiTheme="majorBidi" w:cstheme="majorBidi"/>
          <w:iCs/>
          <w:szCs w:val="22"/>
        </w:rPr>
        <w:t>, 2(1), 121-132.</w:t>
      </w:r>
    </w:p>
    <w:p w14:paraId="054D0E92"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Isnowati, S. S., Sugiyanto, F., Kurnia, A. S., &amp; Tjahjaningsih, E. (2023). The effect labor wage and exchange rate on inflation. </w:t>
      </w:r>
      <w:r w:rsidRPr="009E331E">
        <w:rPr>
          <w:rFonts w:asciiTheme="majorBidi" w:hAnsiTheme="majorBidi" w:cstheme="majorBidi"/>
          <w:i/>
          <w:szCs w:val="22"/>
        </w:rPr>
        <w:t>Montenegrin Journal of Economics</w:t>
      </w:r>
      <w:r w:rsidRPr="009E331E">
        <w:rPr>
          <w:rFonts w:asciiTheme="majorBidi" w:hAnsiTheme="majorBidi" w:cstheme="majorBidi"/>
          <w:iCs/>
          <w:szCs w:val="22"/>
        </w:rPr>
        <w:t>, 19(1), 117-126.</w:t>
      </w:r>
    </w:p>
    <w:p w14:paraId="7834AD6F"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Johansen, S. (1991). Estimation and hypothesis testing of cointegration vectors in gaussian vector autoregressive models. </w:t>
      </w:r>
      <w:r w:rsidRPr="009E331E">
        <w:rPr>
          <w:rFonts w:asciiTheme="majorBidi" w:hAnsiTheme="majorBidi" w:cstheme="majorBidi"/>
          <w:i/>
          <w:szCs w:val="22"/>
        </w:rPr>
        <w:t>Econometrica</w:t>
      </w:r>
      <w:r w:rsidRPr="009E331E">
        <w:rPr>
          <w:rFonts w:asciiTheme="majorBidi" w:hAnsiTheme="majorBidi" w:cstheme="majorBidi"/>
          <w:iCs/>
          <w:szCs w:val="22"/>
        </w:rPr>
        <w:t>, 59(6), 1551-1580.</w:t>
      </w:r>
    </w:p>
    <w:p w14:paraId="17EE7696"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Keefe, H. G. (2020). The impact of exchange rate volatility on inflation targeting monetary policy in emerging and advanced economies. </w:t>
      </w:r>
      <w:r w:rsidRPr="009E331E">
        <w:rPr>
          <w:rFonts w:asciiTheme="majorBidi" w:hAnsiTheme="majorBidi" w:cstheme="majorBidi"/>
          <w:i/>
          <w:szCs w:val="22"/>
        </w:rPr>
        <w:t>International Finance</w:t>
      </w:r>
      <w:r w:rsidRPr="009E331E">
        <w:rPr>
          <w:rFonts w:asciiTheme="majorBidi" w:hAnsiTheme="majorBidi" w:cstheme="majorBidi"/>
          <w:iCs/>
          <w:szCs w:val="22"/>
        </w:rPr>
        <w:t>, 23(3), 417-433.</w:t>
      </w:r>
    </w:p>
    <w:p w14:paraId="32480454"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Kiyotaki, N., &amp; Moore, J. (2002). Evil is the root of all money. </w:t>
      </w:r>
      <w:r w:rsidRPr="009E331E">
        <w:rPr>
          <w:rFonts w:asciiTheme="majorBidi" w:hAnsiTheme="majorBidi" w:cstheme="majorBidi"/>
          <w:i/>
          <w:szCs w:val="22"/>
        </w:rPr>
        <w:t>American Economic Review</w:t>
      </w:r>
      <w:r w:rsidRPr="009E331E">
        <w:rPr>
          <w:rFonts w:asciiTheme="majorBidi" w:hAnsiTheme="majorBidi" w:cstheme="majorBidi"/>
          <w:iCs/>
          <w:szCs w:val="22"/>
        </w:rPr>
        <w:t>, 92(2), 62-66.</w:t>
      </w:r>
    </w:p>
    <w:p w14:paraId="0FDAC7F6"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Long, P. D., Hien, B. Q., &amp; Ngoc, P. T. B. (2022). Impacts of inflation on gold price and exchange rate in Vietnam: Time-varying vs fixed coefficient cointegrations. </w:t>
      </w:r>
      <w:r w:rsidRPr="009E331E">
        <w:rPr>
          <w:rFonts w:asciiTheme="majorBidi" w:hAnsiTheme="majorBidi" w:cstheme="majorBidi"/>
          <w:i/>
          <w:szCs w:val="22"/>
        </w:rPr>
        <w:t>Asian Journal of Economics and Banking</w:t>
      </w:r>
      <w:r w:rsidRPr="009E331E">
        <w:rPr>
          <w:rFonts w:asciiTheme="majorBidi" w:hAnsiTheme="majorBidi" w:cstheme="majorBidi"/>
          <w:iCs/>
          <w:szCs w:val="22"/>
        </w:rPr>
        <w:t>, 6(1), 88-96.</w:t>
      </w:r>
    </w:p>
    <w:p w14:paraId="5735D9BE"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Mankiw, N, G. (2006). The macroeconomist as scientist and engineer. </w:t>
      </w:r>
      <w:r w:rsidRPr="009E331E">
        <w:rPr>
          <w:rFonts w:asciiTheme="majorBidi" w:hAnsiTheme="majorBidi" w:cstheme="majorBidi"/>
          <w:i/>
          <w:szCs w:val="22"/>
        </w:rPr>
        <w:t>Journal of Economic Perspectives</w:t>
      </w:r>
      <w:r w:rsidRPr="009E331E">
        <w:rPr>
          <w:rFonts w:asciiTheme="majorBidi" w:hAnsiTheme="majorBidi" w:cstheme="majorBidi"/>
          <w:iCs/>
          <w:szCs w:val="22"/>
        </w:rPr>
        <w:t>, 20(4), 29-46.</w:t>
      </w:r>
    </w:p>
    <w:p w14:paraId="47EF42C3"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Mark, N. C. (2001). </w:t>
      </w:r>
      <w:r w:rsidRPr="009E331E">
        <w:rPr>
          <w:rFonts w:asciiTheme="majorBidi" w:hAnsiTheme="majorBidi" w:cstheme="majorBidi"/>
          <w:i/>
          <w:szCs w:val="22"/>
        </w:rPr>
        <w:t>International Macroeconomics and Finance: Theory and Econometric Methods</w:t>
      </w:r>
      <w:r w:rsidRPr="009E331E">
        <w:rPr>
          <w:rFonts w:asciiTheme="majorBidi" w:hAnsiTheme="majorBidi" w:cstheme="majorBidi"/>
          <w:iCs/>
          <w:szCs w:val="22"/>
        </w:rPr>
        <w:t>. Blackwell Publishers.</w:t>
      </w:r>
    </w:p>
    <w:p w14:paraId="40E10C87"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Mehrara, M., Ghazanfari, A., &amp; Majdzadeh, M. A. (2015). Determinants of inflation in Iran based on bayesian model averaging (BMA). </w:t>
      </w:r>
      <w:r w:rsidRPr="009E331E">
        <w:rPr>
          <w:rFonts w:asciiTheme="majorBidi" w:hAnsiTheme="majorBidi" w:cstheme="majorBidi"/>
          <w:i/>
          <w:szCs w:val="22"/>
        </w:rPr>
        <w:t>International Letters of Social and Humanistic Sciences</w:t>
      </w:r>
      <w:r w:rsidRPr="009E331E">
        <w:rPr>
          <w:rFonts w:asciiTheme="majorBidi" w:hAnsiTheme="majorBidi" w:cstheme="majorBidi"/>
          <w:iCs/>
          <w:szCs w:val="22"/>
        </w:rPr>
        <w:t>, 43, 10-17.</w:t>
      </w:r>
    </w:p>
    <w:p w14:paraId="14AA8125"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Moessner, R. (2021). Effects of inflation expectations on inflation. </w:t>
      </w:r>
      <w:r w:rsidRPr="009E331E">
        <w:rPr>
          <w:rFonts w:asciiTheme="majorBidi" w:hAnsiTheme="majorBidi" w:cstheme="majorBidi"/>
          <w:i/>
          <w:szCs w:val="22"/>
        </w:rPr>
        <w:t>CESifo Working Paper</w:t>
      </w:r>
      <w:r w:rsidRPr="009E331E">
        <w:rPr>
          <w:rFonts w:asciiTheme="majorBidi" w:hAnsiTheme="majorBidi" w:cstheme="majorBidi"/>
          <w:iCs/>
          <w:szCs w:val="22"/>
        </w:rPr>
        <w:t>, 9467.</w:t>
      </w:r>
    </w:p>
    <w:p w14:paraId="6C2923B5"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lastRenderedPageBreak/>
        <w:t xml:space="preserve">Morina, F., Hysa, E., Ergün, U., Panait, M., &amp; Voica, M. C. (2020). The effect of exchange rate volatility on economic growth: Case of the CEE countries. </w:t>
      </w:r>
      <w:r w:rsidRPr="009E331E">
        <w:rPr>
          <w:rFonts w:asciiTheme="majorBidi" w:hAnsiTheme="majorBidi" w:cstheme="majorBidi"/>
          <w:i/>
          <w:szCs w:val="22"/>
        </w:rPr>
        <w:t>Journal of Risk and Financial Management</w:t>
      </w:r>
      <w:r w:rsidRPr="009E331E">
        <w:rPr>
          <w:rFonts w:asciiTheme="majorBidi" w:hAnsiTheme="majorBidi" w:cstheme="majorBidi"/>
          <w:iCs/>
          <w:szCs w:val="22"/>
        </w:rPr>
        <w:t>, 13(8), 1-13.</w:t>
      </w:r>
    </w:p>
    <w:p w14:paraId="014BCA99"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Nuhu, M. (2021). Impact of exchange rate volatility on inflation in Nigeria. </w:t>
      </w:r>
      <w:r w:rsidRPr="009E331E">
        <w:rPr>
          <w:rFonts w:asciiTheme="majorBidi" w:hAnsiTheme="majorBidi" w:cstheme="majorBidi"/>
          <w:i/>
          <w:szCs w:val="22"/>
        </w:rPr>
        <w:t>Journal of Contemporary Research in Business, Economics and Finance</w:t>
      </w:r>
      <w:r w:rsidRPr="009E331E">
        <w:rPr>
          <w:rFonts w:asciiTheme="majorBidi" w:hAnsiTheme="majorBidi" w:cstheme="majorBidi"/>
          <w:iCs/>
          <w:szCs w:val="22"/>
        </w:rPr>
        <w:t>, 3(1), 26–38.</w:t>
      </w:r>
    </w:p>
    <w:p w14:paraId="53A7FC2A"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Obstfeld, M. (1985). Floating exchange rates: Experience and prospects. </w:t>
      </w:r>
      <w:r w:rsidRPr="009E331E">
        <w:rPr>
          <w:rFonts w:asciiTheme="majorBidi" w:hAnsiTheme="majorBidi" w:cstheme="majorBidi"/>
          <w:i/>
          <w:szCs w:val="22"/>
        </w:rPr>
        <w:t>Brookings Papers on Economic Activity</w:t>
      </w:r>
      <w:r w:rsidRPr="009E331E">
        <w:rPr>
          <w:rFonts w:asciiTheme="majorBidi" w:hAnsiTheme="majorBidi" w:cstheme="majorBidi"/>
          <w:iCs/>
          <w:szCs w:val="22"/>
        </w:rPr>
        <w:t>, 2, 369-450.</w:t>
      </w:r>
    </w:p>
    <w:p w14:paraId="6E81B405"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Orphanides, A. &amp; Solow, R. (1990). Money, inflation and growth", in B. M. Friedman and F. H. Hahn (eds.), </w:t>
      </w:r>
      <w:r w:rsidRPr="009E331E">
        <w:rPr>
          <w:rFonts w:asciiTheme="majorBidi" w:hAnsiTheme="majorBidi" w:cstheme="majorBidi"/>
          <w:i/>
          <w:szCs w:val="22"/>
        </w:rPr>
        <w:t>Handbook of Monetary Economics</w:t>
      </w:r>
      <w:r w:rsidRPr="009E331E">
        <w:rPr>
          <w:rFonts w:asciiTheme="majorBidi" w:hAnsiTheme="majorBidi" w:cstheme="majorBidi"/>
          <w:iCs/>
          <w:szCs w:val="22"/>
        </w:rPr>
        <w:t>, Vol. 1.</w:t>
      </w:r>
    </w:p>
    <w:p w14:paraId="00E4042E"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Pesaran, M. H., &amp; Pesaran, B. (1997). </w:t>
      </w:r>
      <w:r w:rsidRPr="009E331E">
        <w:rPr>
          <w:rFonts w:asciiTheme="majorBidi" w:hAnsiTheme="majorBidi" w:cstheme="majorBidi"/>
          <w:i/>
          <w:szCs w:val="22"/>
        </w:rPr>
        <w:t>Working with Microfit 4.0: Interactive econometric analysis</w:t>
      </w:r>
      <w:r w:rsidRPr="009E331E">
        <w:rPr>
          <w:rFonts w:asciiTheme="majorBidi" w:hAnsiTheme="majorBidi" w:cstheme="majorBidi"/>
          <w:iCs/>
          <w:szCs w:val="22"/>
        </w:rPr>
        <w:t>. Oxford: Oxford University Press.</w:t>
      </w:r>
    </w:p>
    <w:p w14:paraId="4680FC9A"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Pesaran, M. H., Shin, Y., &amp; Smith, R. J. (2001). Bounds testing approaches to the analysis of level relationships. </w:t>
      </w:r>
      <w:r w:rsidRPr="009E331E">
        <w:rPr>
          <w:rFonts w:asciiTheme="majorBidi" w:hAnsiTheme="majorBidi" w:cstheme="majorBidi"/>
          <w:i/>
          <w:szCs w:val="22"/>
        </w:rPr>
        <w:t>Applied Econometrics</w:t>
      </w:r>
      <w:r w:rsidRPr="009E331E">
        <w:rPr>
          <w:rFonts w:asciiTheme="majorBidi" w:hAnsiTheme="majorBidi" w:cstheme="majorBidi"/>
          <w:iCs/>
          <w:szCs w:val="22"/>
        </w:rPr>
        <w:t>, 16(3), 289-326.</w:t>
      </w:r>
    </w:p>
    <w:p w14:paraId="5D677A02"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tl/>
        </w:rPr>
      </w:pPr>
      <w:r w:rsidRPr="009E331E">
        <w:rPr>
          <w:rFonts w:asciiTheme="majorBidi" w:hAnsiTheme="majorBidi" w:cstheme="majorBidi"/>
          <w:iCs/>
          <w:szCs w:val="22"/>
        </w:rPr>
        <w:t xml:space="preserve">Pindyck, R., &amp; Solimano, A. (1993). Economic instability and aggregate investment. </w:t>
      </w:r>
      <w:r w:rsidRPr="009E331E">
        <w:rPr>
          <w:rFonts w:asciiTheme="majorBidi" w:hAnsiTheme="majorBidi" w:cstheme="majorBidi"/>
          <w:i/>
          <w:szCs w:val="22"/>
        </w:rPr>
        <w:t>NBER Working Paper</w:t>
      </w:r>
      <w:r w:rsidRPr="009E331E">
        <w:rPr>
          <w:rFonts w:asciiTheme="majorBidi" w:hAnsiTheme="majorBidi" w:cstheme="majorBidi"/>
          <w:iCs/>
          <w:szCs w:val="22"/>
        </w:rPr>
        <w:t>, 4380.</w:t>
      </w:r>
    </w:p>
    <w:p w14:paraId="65C090C4"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Purnomo, A. (2017). The Eﬀect of inﬂation on the currency exchange rate seen in The islamic finance. </w:t>
      </w:r>
      <w:r w:rsidRPr="009E331E">
        <w:rPr>
          <w:rFonts w:asciiTheme="majorBidi" w:hAnsiTheme="majorBidi" w:cstheme="majorBidi"/>
          <w:i/>
          <w:szCs w:val="22"/>
        </w:rPr>
        <w:t>Journal of Islamic Economics and Banking</w:t>
      </w:r>
      <w:r w:rsidRPr="009E331E">
        <w:rPr>
          <w:rFonts w:asciiTheme="majorBidi" w:hAnsiTheme="majorBidi" w:cstheme="majorBidi"/>
          <w:iCs/>
          <w:szCs w:val="22"/>
        </w:rPr>
        <w:t>, 8(1), 42-53.</w:t>
      </w:r>
    </w:p>
    <w:p w14:paraId="277E9A94"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Qadri Moghadam, R., Rafiei Atani, A., &amp; Baran Zahi, V. (2017). Investigating the relationship between inflation rate and exchange rate in Iran's economy (using vector autoregression method during the period 2010-2015). </w:t>
      </w:r>
      <w:r w:rsidRPr="009E331E">
        <w:rPr>
          <w:rFonts w:asciiTheme="majorBidi" w:hAnsiTheme="majorBidi" w:cstheme="majorBidi"/>
          <w:i/>
          <w:szCs w:val="22"/>
        </w:rPr>
        <w:t>Applied Researches in Management and Accounting</w:t>
      </w:r>
      <w:r w:rsidRPr="009E331E">
        <w:rPr>
          <w:rFonts w:asciiTheme="majorBidi" w:hAnsiTheme="majorBidi" w:cstheme="majorBidi"/>
          <w:iCs/>
          <w:szCs w:val="22"/>
        </w:rPr>
        <w:t xml:space="preserve">, 12(1), 24-36. </w:t>
      </w:r>
      <w:hyperlink r:id="rId34" w:history="1">
        <w:r w:rsidRPr="009E331E">
          <w:rPr>
            <w:rStyle w:val="Hyperlink"/>
            <w:rFonts w:asciiTheme="majorBidi" w:hAnsiTheme="majorBidi" w:cstheme="majorBidi"/>
            <w:iCs/>
            <w:szCs w:val="22"/>
          </w:rPr>
          <w:t>http://www.joas.ir/user/articles/3521</w:t>
        </w:r>
      </w:hyperlink>
      <w:r w:rsidRPr="009E331E">
        <w:rPr>
          <w:rFonts w:asciiTheme="majorBidi" w:hAnsiTheme="majorBidi" w:cstheme="majorBidi"/>
          <w:iCs/>
          <w:szCs w:val="22"/>
        </w:rPr>
        <w:t xml:space="preserve"> </w:t>
      </w:r>
      <w:r w:rsidRPr="009E331E">
        <w:rPr>
          <w:rFonts w:asciiTheme="majorBidi" w:hAnsiTheme="majorBidi" w:cstheme="majorBidi"/>
          <w:szCs w:val="22"/>
        </w:rPr>
        <w:t>[In Persian]</w:t>
      </w:r>
    </w:p>
    <w:p w14:paraId="3EFCDE68"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Roubini, N., &amp; Sala-i-Martin, X. (1995). A growth model of inflation, tax evasion and financial repression. </w:t>
      </w:r>
      <w:r w:rsidRPr="009E331E">
        <w:rPr>
          <w:rFonts w:asciiTheme="majorBidi" w:hAnsiTheme="majorBidi" w:cstheme="majorBidi"/>
          <w:i/>
          <w:szCs w:val="22"/>
        </w:rPr>
        <w:t>Journal of Monetary Economics</w:t>
      </w:r>
      <w:r w:rsidRPr="009E331E">
        <w:rPr>
          <w:rFonts w:asciiTheme="majorBidi" w:hAnsiTheme="majorBidi" w:cstheme="majorBidi"/>
          <w:iCs/>
          <w:szCs w:val="22"/>
        </w:rPr>
        <w:t>, 35(2), 275-301.</w:t>
      </w:r>
    </w:p>
    <w:p w14:paraId="05ED0FEE"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szCs w:val="22"/>
        </w:rPr>
        <w:t>Shah'abadie, A., &amp; Mahmudie, A. (2006). Determinants of foreign direct investment (A case study for Iran). </w:t>
      </w:r>
      <w:r w:rsidRPr="009E331E">
        <w:rPr>
          <w:rStyle w:val="Emphasis"/>
          <w:rFonts w:asciiTheme="majorBidi" w:hAnsiTheme="majorBidi" w:cstheme="majorBidi"/>
          <w:szCs w:val="22"/>
        </w:rPr>
        <w:t>Journal of Iran's Economic Essays (JIEE)</w:t>
      </w:r>
      <w:r w:rsidRPr="009E331E">
        <w:rPr>
          <w:rFonts w:asciiTheme="majorBidi" w:hAnsiTheme="majorBidi" w:cstheme="majorBidi"/>
          <w:szCs w:val="22"/>
        </w:rPr>
        <w:t>, </w:t>
      </w:r>
      <w:r w:rsidRPr="009E331E">
        <w:rPr>
          <w:rStyle w:val="Emphasis"/>
          <w:rFonts w:asciiTheme="majorBidi" w:hAnsiTheme="majorBidi" w:cstheme="majorBidi"/>
          <w:szCs w:val="22"/>
        </w:rPr>
        <w:t>3</w:t>
      </w:r>
      <w:r w:rsidRPr="009E331E">
        <w:rPr>
          <w:rFonts w:asciiTheme="majorBidi" w:hAnsiTheme="majorBidi" w:cstheme="majorBidi"/>
          <w:szCs w:val="22"/>
        </w:rPr>
        <w:t xml:space="preserve">(5), 92-129. </w:t>
      </w:r>
      <w:hyperlink r:id="rId35" w:history="1">
        <w:r w:rsidRPr="009E331E">
          <w:rPr>
            <w:rStyle w:val="Hyperlink"/>
            <w:rFonts w:asciiTheme="majorBidi" w:hAnsiTheme="majorBidi" w:cstheme="majorBidi"/>
            <w:szCs w:val="22"/>
          </w:rPr>
          <w:t>https://iee.rihu.ac.ir/article_311_en.html</w:t>
        </w:r>
      </w:hyperlink>
      <w:r w:rsidRPr="009E331E">
        <w:rPr>
          <w:rFonts w:asciiTheme="majorBidi" w:hAnsiTheme="majorBidi" w:cstheme="majorBidi"/>
          <w:szCs w:val="22"/>
        </w:rPr>
        <w:t xml:space="preserve"> [In Persian]</w:t>
      </w:r>
    </w:p>
    <w:p w14:paraId="7288D042"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Shojaeipour Monfared, S., &amp; Akın, F. (2017). The relationship between exchage rates and inflation: The case of Iran. </w:t>
      </w:r>
      <w:r w:rsidRPr="009E331E">
        <w:rPr>
          <w:rFonts w:asciiTheme="majorBidi" w:hAnsiTheme="majorBidi" w:cstheme="majorBidi"/>
          <w:i/>
          <w:szCs w:val="22"/>
        </w:rPr>
        <w:t>European Journal of Sustainable Development</w:t>
      </w:r>
      <w:r w:rsidRPr="009E331E">
        <w:rPr>
          <w:rFonts w:asciiTheme="majorBidi" w:hAnsiTheme="majorBidi" w:cstheme="majorBidi"/>
          <w:iCs/>
          <w:szCs w:val="22"/>
        </w:rPr>
        <w:t>, 6(4), 329.</w:t>
      </w:r>
    </w:p>
    <w:p w14:paraId="05AA7A07"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t xml:space="preserve">Sintos, A. (2023). Does inflation worsen income inequality? A meta-analysis. </w:t>
      </w:r>
      <w:r w:rsidRPr="009E331E">
        <w:rPr>
          <w:rFonts w:asciiTheme="majorBidi" w:hAnsiTheme="majorBidi" w:cstheme="majorBidi"/>
          <w:i/>
          <w:szCs w:val="22"/>
        </w:rPr>
        <w:t>Economic Systems</w:t>
      </w:r>
      <w:r w:rsidRPr="009E331E">
        <w:rPr>
          <w:rFonts w:asciiTheme="majorBidi" w:hAnsiTheme="majorBidi" w:cstheme="majorBidi"/>
          <w:iCs/>
          <w:szCs w:val="22"/>
        </w:rPr>
        <w:t>, 101146.</w:t>
      </w:r>
    </w:p>
    <w:p w14:paraId="7818105E" w14:textId="77777777" w:rsidR="00E234D5" w:rsidRPr="009E331E" w:rsidRDefault="00E234D5" w:rsidP="00E234D5">
      <w:pPr>
        <w:pStyle w:val="EndNoteBibliography"/>
        <w:bidi w:val="0"/>
        <w:spacing w:after="0"/>
        <w:ind w:left="567" w:hanging="567"/>
        <w:contextualSpacing/>
        <w:rPr>
          <w:rFonts w:asciiTheme="majorBidi" w:hAnsiTheme="majorBidi" w:cstheme="majorBidi"/>
          <w:iCs/>
          <w:szCs w:val="22"/>
        </w:rPr>
      </w:pPr>
      <w:r w:rsidRPr="009E331E">
        <w:rPr>
          <w:rFonts w:asciiTheme="majorBidi" w:hAnsiTheme="majorBidi" w:cstheme="majorBidi"/>
          <w:iCs/>
          <w:szCs w:val="22"/>
        </w:rPr>
        <w:lastRenderedPageBreak/>
        <w:t xml:space="preserve">Stanford, J. (2008). </w:t>
      </w:r>
      <w:r w:rsidRPr="009E331E">
        <w:rPr>
          <w:rFonts w:asciiTheme="majorBidi" w:hAnsiTheme="majorBidi" w:cstheme="majorBidi"/>
          <w:i/>
          <w:szCs w:val="22"/>
        </w:rPr>
        <w:t>How-to guide: Understanding and measuring inflation</w:t>
      </w:r>
      <w:r w:rsidRPr="009E331E">
        <w:rPr>
          <w:rFonts w:asciiTheme="majorBidi" w:hAnsiTheme="majorBidi" w:cstheme="majorBidi"/>
          <w:iCs/>
          <w:szCs w:val="22"/>
        </w:rPr>
        <w:t>. Canadian Centre for Policy Alternatives.</w:t>
      </w:r>
    </w:p>
    <w:p w14:paraId="4E38DE55"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Sumantri, V. D. S., &amp; Fadli, F. (2022). Analysis of macroeconomic variables affecting inflation and exchange rates. </w:t>
      </w:r>
      <w:r w:rsidRPr="009E331E">
        <w:rPr>
          <w:rFonts w:asciiTheme="majorBidi" w:hAnsiTheme="majorBidi" w:cstheme="majorBidi"/>
          <w:i/>
          <w:iCs/>
          <w:szCs w:val="22"/>
        </w:rPr>
        <w:t>Integrated Journal of Business and Economics</w:t>
      </w:r>
      <w:r w:rsidRPr="009E331E">
        <w:rPr>
          <w:rFonts w:asciiTheme="majorBidi" w:hAnsiTheme="majorBidi" w:cstheme="majorBidi"/>
          <w:szCs w:val="22"/>
        </w:rPr>
        <w:t>, 6(2), 102-114.</w:t>
      </w:r>
    </w:p>
    <w:p w14:paraId="76B64A34"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Svensson, L. E. O. (2000). Open-economy inflation targeting. </w:t>
      </w:r>
      <w:r w:rsidRPr="009E331E">
        <w:rPr>
          <w:rFonts w:asciiTheme="majorBidi" w:hAnsiTheme="majorBidi" w:cstheme="majorBidi"/>
          <w:i/>
          <w:iCs/>
          <w:szCs w:val="22"/>
        </w:rPr>
        <w:t>Journal of International Economics</w:t>
      </w:r>
      <w:r w:rsidRPr="009E331E">
        <w:rPr>
          <w:rFonts w:asciiTheme="majorBidi" w:hAnsiTheme="majorBidi" w:cstheme="majorBidi"/>
          <w:szCs w:val="22"/>
        </w:rPr>
        <w:t>, 50(1), 155-183.</w:t>
      </w:r>
    </w:p>
    <w:p w14:paraId="4A49993D"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shd w:val="clear" w:color="auto" w:fill="FFFFFF"/>
        </w:rPr>
        <w:t>Tahsili, H. (2022). The impact of exchange rate shock on inflation in Iran's economy: Application of the threshold vector autoregression model. </w:t>
      </w:r>
      <w:r w:rsidRPr="009E331E">
        <w:rPr>
          <w:rStyle w:val="Emphasis"/>
          <w:rFonts w:asciiTheme="majorBidi" w:hAnsiTheme="majorBidi" w:cstheme="majorBidi"/>
          <w:szCs w:val="22"/>
          <w:shd w:val="clear" w:color="auto" w:fill="FFFFFF"/>
        </w:rPr>
        <w:t>Iranian Journal of Economic Research</w:t>
      </w:r>
      <w:r w:rsidRPr="009E331E">
        <w:rPr>
          <w:rFonts w:asciiTheme="majorBidi" w:hAnsiTheme="majorBidi" w:cstheme="majorBidi"/>
          <w:szCs w:val="22"/>
          <w:shd w:val="clear" w:color="auto" w:fill="FFFFFF"/>
        </w:rPr>
        <w:t>, </w:t>
      </w:r>
      <w:r w:rsidRPr="009E331E">
        <w:rPr>
          <w:rStyle w:val="Emphasis"/>
          <w:rFonts w:asciiTheme="majorBidi" w:hAnsiTheme="majorBidi" w:cstheme="majorBidi"/>
          <w:szCs w:val="22"/>
          <w:shd w:val="clear" w:color="auto" w:fill="FFFFFF"/>
        </w:rPr>
        <w:t>27</w:t>
      </w:r>
      <w:r w:rsidRPr="009E331E">
        <w:rPr>
          <w:rFonts w:asciiTheme="majorBidi" w:hAnsiTheme="majorBidi" w:cstheme="majorBidi"/>
          <w:szCs w:val="22"/>
          <w:shd w:val="clear" w:color="auto" w:fill="FFFFFF"/>
        </w:rPr>
        <w:t xml:space="preserve">(91), 257-285. doi: 10.22054/ijer.2022.56063.912 </w:t>
      </w:r>
      <w:r w:rsidRPr="009E331E">
        <w:rPr>
          <w:rFonts w:asciiTheme="majorBidi" w:hAnsiTheme="majorBidi" w:cstheme="majorBidi"/>
          <w:szCs w:val="22"/>
        </w:rPr>
        <w:t>[In Persian]</w:t>
      </w:r>
    </w:p>
    <w:p w14:paraId="048885D1"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shd w:val="clear" w:color="auto" w:fill="FFFFFF"/>
        </w:rPr>
        <w:t xml:space="preserve">Toda, H. Y., &amp; Yamamoto, T. (1995). Statistical inference in vector autoregressions with possibly integrated processes. </w:t>
      </w:r>
      <w:r w:rsidRPr="009E331E">
        <w:rPr>
          <w:rFonts w:asciiTheme="majorBidi" w:hAnsiTheme="majorBidi" w:cstheme="majorBidi"/>
          <w:i/>
          <w:iCs/>
          <w:szCs w:val="22"/>
          <w:shd w:val="clear" w:color="auto" w:fill="FFFFFF"/>
        </w:rPr>
        <w:t>Journal of Econometrics</w:t>
      </w:r>
      <w:r w:rsidRPr="009E331E">
        <w:rPr>
          <w:rFonts w:asciiTheme="majorBidi" w:hAnsiTheme="majorBidi" w:cstheme="majorBidi"/>
          <w:szCs w:val="22"/>
          <w:shd w:val="clear" w:color="auto" w:fill="FFFFFF"/>
        </w:rPr>
        <w:t>, 66(1-2), 225-250.</w:t>
      </w:r>
    </w:p>
    <w:p w14:paraId="04824F70" w14:textId="77777777" w:rsidR="00E234D5" w:rsidRPr="009E331E"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Valogo, M. K., Duodu, E., Yusif, H., &amp; Baidoo, S. T. (2023). Effect of exchange rate on inflation in the inflation targeting framework: Is the threshold level relevant?. </w:t>
      </w:r>
      <w:r w:rsidRPr="009E331E">
        <w:rPr>
          <w:rFonts w:asciiTheme="majorBidi" w:hAnsiTheme="majorBidi" w:cstheme="majorBidi"/>
          <w:i/>
          <w:iCs/>
          <w:szCs w:val="22"/>
        </w:rPr>
        <w:t>Research in Globalization</w:t>
      </w:r>
      <w:r w:rsidRPr="009E331E">
        <w:rPr>
          <w:rFonts w:asciiTheme="majorBidi" w:hAnsiTheme="majorBidi" w:cstheme="majorBidi"/>
          <w:szCs w:val="22"/>
        </w:rPr>
        <w:t>, 6, 100119.</w:t>
      </w:r>
    </w:p>
    <w:p w14:paraId="162E2B1F" w14:textId="77777777" w:rsidR="00E234D5"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Yazdani, M., &amp; Pirpour, H. (2017). Evaluating effects of exchange rate uncertainty on financing of firms and foreign direct investment in Iran. </w:t>
      </w:r>
      <w:r w:rsidRPr="009E331E">
        <w:rPr>
          <w:rFonts w:asciiTheme="majorBidi" w:hAnsiTheme="majorBidi" w:cstheme="majorBidi"/>
          <w:i/>
          <w:iCs/>
          <w:szCs w:val="22"/>
        </w:rPr>
        <w:t>Economics Research</w:t>
      </w:r>
      <w:r w:rsidRPr="009E331E">
        <w:rPr>
          <w:rFonts w:asciiTheme="majorBidi" w:hAnsiTheme="majorBidi" w:cstheme="majorBidi"/>
          <w:szCs w:val="22"/>
        </w:rPr>
        <w:t>, 17(67), 35-65. doi: 10.22054/joer.2018.8563 [In Persian]</w:t>
      </w:r>
    </w:p>
    <w:p w14:paraId="0438F6EB" w14:textId="77777777" w:rsidR="00E234D5" w:rsidRDefault="00E234D5" w:rsidP="00E234D5">
      <w:pPr>
        <w:pStyle w:val="EndNoteBibliography"/>
        <w:bidi w:val="0"/>
        <w:spacing w:after="0"/>
        <w:ind w:left="567" w:hanging="567"/>
        <w:contextualSpacing/>
        <w:rPr>
          <w:rFonts w:asciiTheme="majorBidi" w:hAnsiTheme="majorBidi" w:cstheme="majorBidi"/>
          <w:szCs w:val="22"/>
        </w:rPr>
      </w:pPr>
      <w:r w:rsidRPr="009E331E">
        <w:rPr>
          <w:rFonts w:asciiTheme="majorBidi" w:hAnsiTheme="majorBidi" w:cstheme="majorBidi"/>
          <w:szCs w:val="22"/>
        </w:rPr>
        <w:t xml:space="preserve">Zakoian, J. M. (1994). Threshold heteroskedastic models. </w:t>
      </w:r>
      <w:r w:rsidRPr="009E331E">
        <w:rPr>
          <w:rFonts w:asciiTheme="majorBidi" w:hAnsiTheme="majorBidi" w:cstheme="majorBidi"/>
          <w:i/>
          <w:iCs/>
          <w:szCs w:val="22"/>
        </w:rPr>
        <w:t>Journal of Economic Dynamics and Control</w:t>
      </w:r>
      <w:r w:rsidRPr="009E331E">
        <w:rPr>
          <w:rFonts w:asciiTheme="majorBidi" w:hAnsiTheme="majorBidi" w:cstheme="majorBidi"/>
          <w:szCs w:val="22"/>
        </w:rPr>
        <w:t>, 18(5), 931-955.</w:t>
      </w:r>
    </w:p>
    <w:p w14:paraId="4C1FB884" w14:textId="62E84C08" w:rsidR="0002155A" w:rsidRPr="006C0D2F" w:rsidRDefault="0002155A" w:rsidP="0002155A">
      <w:pPr>
        <w:pStyle w:val="Default"/>
        <w:ind w:left="567" w:hanging="567"/>
        <w:contextualSpacing/>
        <w:jc w:val="both"/>
        <w:rPr>
          <w:rFonts w:asciiTheme="majorBidi" w:hAnsiTheme="majorBidi" w:cstheme="majorBidi"/>
          <w:color w:val="FF0000"/>
          <w:sz w:val="22"/>
          <w:szCs w:val="22"/>
        </w:rPr>
        <w:sectPr w:rsidR="0002155A" w:rsidRPr="006C0D2F" w:rsidSect="00567852">
          <w:headerReference w:type="even" r:id="rId36"/>
          <w:headerReference w:type="default" r:id="rId37"/>
          <w:headerReference w:type="first" r:id="rId38"/>
          <w:footerReference w:type="first" r:id="rId39"/>
          <w:pgSz w:w="9634" w:h="13608" w:code="9"/>
          <w:pgMar w:top="1440" w:right="1440" w:bottom="1440" w:left="1440" w:header="144" w:footer="720" w:gutter="0"/>
          <w:pgNumType w:start="36"/>
          <w:cols w:space="720"/>
          <w:titlePg/>
          <w:docGrid w:linePitch="360"/>
        </w:sectPr>
      </w:pPr>
    </w:p>
    <w:p w14:paraId="4682AB1F" w14:textId="4327C26B" w:rsidR="001B50A0" w:rsidRPr="00790ED7" w:rsidRDefault="001B50A0" w:rsidP="0002155A">
      <w:pPr>
        <w:pStyle w:val="EndNoteBibliography"/>
        <w:bidi w:val="0"/>
        <w:ind w:firstLine="0"/>
        <w:rPr>
          <w:szCs w:val="16"/>
          <w:rtl/>
        </w:rPr>
      </w:pPr>
    </w:p>
    <w:sectPr w:rsidR="001B50A0" w:rsidRPr="00790ED7" w:rsidSect="005F4CA8">
      <w:headerReference w:type="default" r:id="rId40"/>
      <w:footerReference w:type="default" r:id="rId41"/>
      <w:endnotePr>
        <w:numFmt w:val="arabicAbjad"/>
      </w:endnotePr>
      <w:pgSz w:w="9634" w:h="1360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8B0EC" w14:textId="77777777" w:rsidR="007739C7" w:rsidRDefault="007739C7" w:rsidP="00004AE3">
      <w:pPr>
        <w:spacing w:after="0" w:line="240" w:lineRule="auto"/>
      </w:pPr>
      <w:r>
        <w:separator/>
      </w:r>
    </w:p>
  </w:endnote>
  <w:endnote w:type="continuationSeparator" w:id="0">
    <w:p w14:paraId="7ECCCE1A" w14:textId="77777777" w:rsidR="007739C7" w:rsidRDefault="007739C7" w:rsidP="0000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ndom">
    <w:panose1 w:val="020B0603030804020204"/>
    <w:charset w:val="00"/>
    <w:family w:val="swiss"/>
    <w:pitch w:val="variable"/>
    <w:sig w:usb0="8000200F"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 Traffic">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A  Mitra_1 (MRT)">
    <w:altName w:val="Courier New"/>
    <w:charset w:val="B2"/>
    <w:family w:val="auto"/>
    <w:pitch w:val="variable"/>
    <w:sig w:usb0="00002000"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erpetua">
    <w:charset w:val="00"/>
    <w:family w:val="roman"/>
    <w:pitch w:val="variable"/>
    <w:sig w:usb0="00000003" w:usb1="00000000" w:usb2="00000000" w:usb3="00000000" w:csb0="00000001" w:csb1="00000000"/>
  </w:font>
  <w:font w:name="Jokerman">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 Mitra">
    <w:panose1 w:val="00000400000000000000"/>
    <w:charset w:val="B2"/>
    <w:family w:val="auto"/>
    <w:pitch w:val="variable"/>
    <w:sig w:usb0="00002001" w:usb1="80000000" w:usb2="00000008" w:usb3="00000000" w:csb0="00000040"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2F07" w14:textId="208CEE71" w:rsidR="0002155A" w:rsidRPr="003911CF" w:rsidRDefault="0002155A" w:rsidP="00DD14E1">
    <w:pPr>
      <w:pStyle w:val="Footer"/>
      <w:jc w:val="both"/>
      <w:rPr>
        <w:bCs/>
      </w:rPr>
    </w:pPr>
    <w:r>
      <w:rPr>
        <w:bCs/>
        <w:noProof/>
        <w:szCs w:val="18"/>
      </w:rPr>
      <w:drawing>
        <wp:inline distT="0" distB="0" distL="0" distR="0" wp14:anchorId="6095D923" wp14:editId="6FB7EC47">
          <wp:extent cx="838200" cy="2971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r>
      <w:rPr>
        <w:rFonts w:ascii="Times New Roman" w:hAnsi="Times New Roman"/>
        <w:bCs/>
        <w:sz w:val="18"/>
        <w:szCs w:val="12"/>
      </w:rPr>
      <w:t xml:space="preserve"> © 202</w:t>
    </w:r>
    <w:r w:rsidR="00DD14E1">
      <w:rPr>
        <w:rFonts w:ascii="Times New Roman" w:hAnsi="Times New Roman"/>
        <w:bCs/>
        <w:sz w:val="18"/>
        <w:szCs w:val="12"/>
      </w:rPr>
      <w:t>6</w:t>
    </w:r>
    <w:r>
      <w:rPr>
        <w:rFonts w:ascii="Times New Roman" w:hAnsi="Times New Roman"/>
        <w:bCs/>
        <w:sz w:val="18"/>
        <w:szCs w:val="12"/>
      </w:rPr>
      <w:t xml:space="preserve"> Shahid </w:t>
    </w:r>
    <w:proofErr w:type="spellStart"/>
    <w:r>
      <w:rPr>
        <w:rFonts w:ascii="Times New Roman" w:hAnsi="Times New Roman"/>
        <w:bCs/>
        <w:sz w:val="18"/>
        <w:szCs w:val="12"/>
      </w:rPr>
      <w:t>Chamran</w:t>
    </w:r>
    <w:proofErr w:type="spellEnd"/>
    <w:r>
      <w:rPr>
        <w:rFonts w:ascii="Times New Roman" w:hAnsi="Times New Roman"/>
        <w:bCs/>
        <w:sz w:val="18"/>
        <w:szCs w:val="12"/>
      </w:rPr>
      <w:t xml:space="preserve"> University of Ahvaz, Ahvaz, Iran. This article is an open access article distributed under the terms and conditions of the Creative Commons Attribution-</w:t>
    </w:r>
    <w:proofErr w:type="spellStart"/>
    <w:r>
      <w:rPr>
        <w:rFonts w:ascii="Times New Roman" w:hAnsi="Times New Roman"/>
        <w:bCs/>
        <w:sz w:val="18"/>
        <w:szCs w:val="12"/>
      </w:rPr>
      <w:t>NonCommercial</w:t>
    </w:r>
    <w:proofErr w:type="spellEnd"/>
    <w:r>
      <w:rPr>
        <w:rFonts w:ascii="Times New Roman" w:hAnsi="Times New Roman"/>
        <w:bCs/>
        <w:sz w:val="18"/>
        <w:szCs w:val="12"/>
      </w:rPr>
      <w:t xml:space="preserve"> 4.0 International (CC BY-NC 4.0 license) (</w:t>
    </w:r>
    <w:hyperlink r:id="rId2" w:history="1">
      <w:r>
        <w:rPr>
          <w:rStyle w:val="Hyperlink"/>
          <w:rFonts w:ascii="Times New Roman" w:hAnsi="Times New Roman"/>
          <w:bCs/>
          <w:sz w:val="18"/>
          <w:szCs w:val="12"/>
        </w:rPr>
        <w:t>http://creativecommons.org/licenses/by-nc/4.0/</w:t>
      </w:r>
    </w:hyperlink>
    <w:r>
      <w:rPr>
        <w:rFonts w:ascii="Times New Roman" w:hAnsi="Times New Roman"/>
        <w:bCs/>
        <w:sz w:val="18"/>
        <w:szCs w:val="12"/>
      </w:rPr>
      <w:t>)</w:t>
    </w:r>
  </w:p>
  <w:p w14:paraId="18CBDD49" w14:textId="77777777" w:rsidR="0002155A" w:rsidRDefault="00021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E6CE3" w14:textId="4F908D8F" w:rsidR="00C66C22" w:rsidRPr="0071003E" w:rsidRDefault="00C66C22" w:rsidP="0071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EEDB6" w14:textId="77777777" w:rsidR="007739C7" w:rsidRDefault="007739C7" w:rsidP="00004AE3">
      <w:pPr>
        <w:spacing w:after="0" w:line="240" w:lineRule="auto"/>
      </w:pPr>
      <w:r>
        <w:separator/>
      </w:r>
    </w:p>
  </w:footnote>
  <w:footnote w:type="continuationSeparator" w:id="0">
    <w:p w14:paraId="66DC2927" w14:textId="77777777" w:rsidR="007739C7" w:rsidRDefault="007739C7" w:rsidP="0000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66DCD" w14:textId="77777777" w:rsidR="0002155A" w:rsidRPr="00427E63" w:rsidRDefault="0002155A">
    <w:pPr>
      <w:pStyle w:val="Header"/>
      <w:rPr>
        <w:b/>
        <w:bCs/>
      </w:rPr>
    </w:pPr>
  </w:p>
  <w:p w14:paraId="43DF471C" w14:textId="77777777" w:rsidR="0002155A" w:rsidRPr="00427E63" w:rsidRDefault="0002155A">
    <w:pPr>
      <w:pStyle w:val="Header"/>
      <w:rPr>
        <w:b/>
        <w:bCs/>
      </w:rPr>
    </w:pPr>
  </w:p>
  <w:tbl>
    <w:tblPr>
      <w:tblStyle w:val="TableGrid"/>
      <w:bidiVisual/>
      <w:tblW w:w="5000" w:type="pct"/>
      <w:jc w:val="center"/>
      <w:tblLook w:val="04A0" w:firstRow="1" w:lastRow="0" w:firstColumn="1" w:lastColumn="0" w:noHBand="0" w:noVBand="1"/>
    </w:tblPr>
    <w:tblGrid>
      <w:gridCol w:w="1992"/>
      <w:gridCol w:w="4446"/>
      <w:gridCol w:w="316"/>
    </w:tblGrid>
    <w:tr w:rsidR="0002155A" w:rsidRPr="00427E63" w14:paraId="07A49951" w14:textId="77777777" w:rsidTr="00F76EFE">
      <w:trPr>
        <w:jc w:val="center"/>
      </w:trPr>
      <w:tc>
        <w:tcPr>
          <w:tcW w:w="952" w:type="pct"/>
          <w:tcBorders>
            <w:top w:val="nil"/>
            <w:left w:val="nil"/>
            <w:bottom w:val="single" w:sz="12" w:space="0" w:color="000000"/>
            <w:right w:val="nil"/>
          </w:tcBorders>
          <w:vAlign w:val="center"/>
        </w:tcPr>
        <w:p w14:paraId="67B7DDE7" w14:textId="77777777" w:rsidR="0002155A" w:rsidRPr="00427E63" w:rsidRDefault="0002155A" w:rsidP="000215E6">
          <w:pPr>
            <w:bidi/>
            <w:spacing w:after="60"/>
            <w:jc w:val="right"/>
            <w:rPr>
              <w:rFonts w:cs="B Mitra"/>
              <w:b/>
              <w:bCs/>
              <w:sz w:val="14"/>
              <w:szCs w:val="14"/>
              <w:rtl/>
              <w:lang w:bidi="fa-IR"/>
            </w:rPr>
          </w:pPr>
          <w:r w:rsidRPr="00427E63">
            <w:rPr>
              <w:rFonts w:ascii="Times New Roman" w:hAnsi="Times New Roman" w:cs="Times New Roman"/>
              <w:b/>
              <w:bCs/>
              <w:noProof/>
            </w:rPr>
            <w:drawing>
              <wp:inline distT="0" distB="0" distL="0" distR="0" wp14:anchorId="561197D2" wp14:editId="7BFA2E79">
                <wp:extent cx="1127760" cy="62843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94" t="3191" r="6029" b="16421"/>
                        <a:stretch/>
                      </pic:blipFill>
                      <pic:spPr bwMode="auto">
                        <a:xfrm>
                          <a:off x="0" y="0"/>
                          <a:ext cx="1129606" cy="6294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47" w:type="pct"/>
          <w:tcBorders>
            <w:top w:val="nil"/>
            <w:left w:val="nil"/>
            <w:bottom w:val="single" w:sz="12" w:space="0" w:color="000000"/>
            <w:right w:val="nil"/>
          </w:tcBorders>
          <w:vAlign w:val="center"/>
        </w:tcPr>
        <w:p w14:paraId="13C8D3DE" w14:textId="2A8DB836" w:rsidR="0002155A" w:rsidRPr="001C6DED" w:rsidRDefault="00F864EA" w:rsidP="000215E6">
          <w:pPr>
            <w:spacing w:after="60"/>
            <w:jc w:val="both"/>
            <w:rPr>
              <w:rFonts w:ascii="Times New Roman" w:eastAsia="Malgun Gothic" w:hAnsi="Times New Roman" w:cs="Times New Roman"/>
              <w:b/>
              <w:bCs/>
              <w:color w:val="FF0000"/>
              <w:sz w:val="18"/>
              <w:szCs w:val="18"/>
            </w:rPr>
          </w:pPr>
          <w:r w:rsidRPr="00F864EA">
            <w:rPr>
              <w:rFonts w:ascii="Times New Roman" w:hAnsi="Times New Roman" w:cs="Times New Roman"/>
              <w:b/>
              <w:bCs/>
              <w:sz w:val="18"/>
              <w:szCs w:val="18"/>
            </w:rPr>
            <w:t>Evaluating the impact of exchange rate fluctuations on core inflation using the Mandel-Fleming stochastic model and identifying the mutual relationship between exchange rate fluctuations and inflation deviations in Iran</w:t>
          </w:r>
        </w:p>
      </w:tc>
      <w:tc>
        <w:tcPr>
          <w:tcW w:w="202" w:type="pct"/>
          <w:tcBorders>
            <w:top w:val="nil"/>
            <w:left w:val="nil"/>
            <w:bottom w:val="single" w:sz="12" w:space="0" w:color="000000"/>
            <w:right w:val="nil"/>
          </w:tcBorders>
          <w:vAlign w:val="center"/>
        </w:tcPr>
        <w:p w14:paraId="1A74A32C" w14:textId="741A0072" w:rsidR="0002155A" w:rsidRPr="00427E63" w:rsidRDefault="0002155A" w:rsidP="000215E6">
          <w:pPr>
            <w:jc w:val="center"/>
            <w:rPr>
              <w:rFonts w:ascii="Times New Roman" w:hAnsi="Times New Roman" w:cs="Times New Roman"/>
              <w:b/>
              <w:bCs/>
            </w:rPr>
          </w:pPr>
          <w:r w:rsidRPr="00427E63">
            <w:rPr>
              <w:rFonts w:ascii="Times New Roman" w:hAnsi="Times New Roman" w:cs="Times New Roman"/>
              <w:b/>
              <w:bCs/>
            </w:rPr>
            <w:fldChar w:fldCharType="begin"/>
          </w:r>
          <w:r w:rsidRPr="00427E63">
            <w:rPr>
              <w:rFonts w:ascii="Times New Roman" w:hAnsi="Times New Roman" w:cs="Times New Roman"/>
              <w:b/>
              <w:bCs/>
            </w:rPr>
            <w:instrText xml:space="preserve"> PAGE   \* MERGEFORMAT </w:instrText>
          </w:r>
          <w:r w:rsidRPr="00427E63">
            <w:rPr>
              <w:rFonts w:ascii="Times New Roman" w:hAnsi="Times New Roman" w:cs="Times New Roman"/>
              <w:b/>
              <w:bCs/>
            </w:rPr>
            <w:fldChar w:fldCharType="separate"/>
          </w:r>
          <w:r w:rsidR="00F864EA">
            <w:rPr>
              <w:rFonts w:ascii="Times New Roman" w:hAnsi="Times New Roman" w:cs="Times New Roman"/>
              <w:b/>
              <w:bCs/>
              <w:noProof/>
            </w:rPr>
            <w:t>10</w:t>
          </w:r>
          <w:r w:rsidRPr="00427E63">
            <w:rPr>
              <w:rFonts w:ascii="Times New Roman" w:hAnsi="Times New Roman" w:cs="Times New Roman"/>
              <w:b/>
              <w:bCs/>
              <w:noProof/>
            </w:rPr>
            <w:fldChar w:fldCharType="end"/>
          </w:r>
        </w:p>
      </w:tc>
    </w:tr>
  </w:tbl>
  <w:p w14:paraId="509A7318" w14:textId="77777777" w:rsidR="0002155A" w:rsidRPr="00427E63" w:rsidRDefault="0002155A">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85BF" w14:textId="77777777" w:rsidR="0002155A" w:rsidRPr="00427E63" w:rsidRDefault="0002155A" w:rsidP="009A3F32">
    <w:pPr>
      <w:pStyle w:val="Header"/>
      <w:rPr>
        <w:b/>
        <w:bCs/>
      </w:rPr>
    </w:pPr>
  </w:p>
  <w:p w14:paraId="0D80E295" w14:textId="77777777" w:rsidR="0002155A" w:rsidRPr="00427E63" w:rsidRDefault="0002155A" w:rsidP="009A3F32">
    <w:pPr>
      <w:pStyle w:val="Header"/>
      <w:rPr>
        <w:b/>
        <w:bCs/>
      </w:rPr>
    </w:pPr>
  </w:p>
  <w:tbl>
    <w:tblPr>
      <w:tblStyle w:val="TableGrid"/>
      <w:bidiVisual/>
      <w:tblW w:w="5000" w:type="pct"/>
      <w:tblLook w:val="04A0" w:firstRow="1" w:lastRow="0" w:firstColumn="1" w:lastColumn="0" w:noHBand="0" w:noVBand="1"/>
    </w:tblPr>
    <w:tblGrid>
      <w:gridCol w:w="316"/>
      <w:gridCol w:w="4446"/>
      <w:gridCol w:w="1992"/>
    </w:tblGrid>
    <w:tr w:rsidR="0002155A" w:rsidRPr="00427E63" w14:paraId="0958B54C" w14:textId="77777777" w:rsidTr="00425028">
      <w:tc>
        <w:tcPr>
          <w:tcW w:w="156" w:type="pct"/>
          <w:tcBorders>
            <w:top w:val="nil"/>
            <w:left w:val="nil"/>
            <w:bottom w:val="single" w:sz="12" w:space="0" w:color="auto"/>
            <w:right w:val="nil"/>
          </w:tcBorders>
          <w:vAlign w:val="center"/>
        </w:tcPr>
        <w:p w14:paraId="24811AB7" w14:textId="5D85FBDE" w:rsidR="0002155A" w:rsidRPr="00427E63" w:rsidRDefault="0002155A" w:rsidP="009A3F32">
          <w:pPr>
            <w:jc w:val="both"/>
            <w:rPr>
              <w:rFonts w:ascii="Times New Roman" w:hAnsi="Times New Roman" w:cs="Times New Roman"/>
              <w:b/>
              <w:bCs/>
            </w:rPr>
          </w:pPr>
          <w:r w:rsidRPr="00427E63">
            <w:rPr>
              <w:rFonts w:ascii="Times New Roman" w:hAnsi="Times New Roman" w:cs="Times New Roman"/>
              <w:b/>
              <w:bCs/>
            </w:rPr>
            <w:fldChar w:fldCharType="begin"/>
          </w:r>
          <w:r w:rsidRPr="00427E63">
            <w:rPr>
              <w:rFonts w:ascii="Times New Roman" w:hAnsi="Times New Roman" w:cs="Times New Roman"/>
              <w:b/>
              <w:bCs/>
            </w:rPr>
            <w:instrText xml:space="preserve"> PAGE   \* MERGEFORMAT </w:instrText>
          </w:r>
          <w:r w:rsidRPr="00427E63">
            <w:rPr>
              <w:rFonts w:ascii="Times New Roman" w:hAnsi="Times New Roman" w:cs="Times New Roman"/>
              <w:b/>
              <w:bCs/>
            </w:rPr>
            <w:fldChar w:fldCharType="separate"/>
          </w:r>
          <w:r w:rsidR="00F864EA">
            <w:rPr>
              <w:rFonts w:ascii="Times New Roman" w:hAnsi="Times New Roman" w:cs="Times New Roman"/>
              <w:b/>
              <w:bCs/>
              <w:noProof/>
            </w:rPr>
            <w:t>9</w:t>
          </w:r>
          <w:r w:rsidRPr="00427E63">
            <w:rPr>
              <w:rFonts w:ascii="Times New Roman" w:hAnsi="Times New Roman" w:cs="Times New Roman"/>
              <w:b/>
              <w:bCs/>
              <w:noProof/>
            </w:rPr>
            <w:fldChar w:fldCharType="end"/>
          </w:r>
        </w:p>
      </w:tc>
      <w:tc>
        <w:tcPr>
          <w:tcW w:w="4072" w:type="pct"/>
          <w:tcBorders>
            <w:top w:val="nil"/>
            <w:left w:val="nil"/>
            <w:bottom w:val="single" w:sz="12" w:space="0" w:color="auto"/>
            <w:right w:val="nil"/>
          </w:tcBorders>
          <w:vAlign w:val="center"/>
        </w:tcPr>
        <w:p w14:paraId="07EA94E2" w14:textId="6057BC73" w:rsidR="0002155A" w:rsidRPr="001C6DED" w:rsidRDefault="00F864EA" w:rsidP="009A3F32">
          <w:pPr>
            <w:jc w:val="both"/>
            <w:rPr>
              <w:rFonts w:ascii="Times New Roman" w:hAnsi="Times New Roman" w:cs="Times New Roman"/>
              <w:b/>
              <w:bCs/>
              <w:iCs/>
              <w:sz w:val="16"/>
              <w:szCs w:val="16"/>
              <w:lang w:bidi="fa-IR"/>
            </w:rPr>
          </w:pPr>
          <w:r>
            <w:rPr>
              <w:rFonts w:ascii="Times New Roman" w:hAnsi="Times New Roman" w:cs="Times New Roman"/>
              <w:b/>
              <w:bCs/>
              <w:iCs/>
              <w:sz w:val="18"/>
              <w:szCs w:val="10"/>
              <w:lang w:bidi="fa-IR"/>
            </w:rPr>
            <w:t xml:space="preserve">Hamed </w:t>
          </w:r>
          <w:proofErr w:type="spellStart"/>
          <w:r>
            <w:rPr>
              <w:rFonts w:ascii="Times New Roman" w:hAnsi="Times New Roman" w:cs="Times New Roman"/>
              <w:b/>
              <w:bCs/>
              <w:iCs/>
              <w:sz w:val="18"/>
              <w:szCs w:val="10"/>
              <w:lang w:bidi="fa-IR"/>
            </w:rPr>
            <w:t>Pirpour</w:t>
          </w:r>
          <w:proofErr w:type="spellEnd"/>
          <w:r>
            <w:rPr>
              <w:rFonts w:ascii="Times New Roman" w:hAnsi="Times New Roman" w:cs="Times New Roman"/>
              <w:b/>
              <w:bCs/>
              <w:iCs/>
              <w:sz w:val="18"/>
              <w:szCs w:val="10"/>
              <w:lang w:bidi="fa-IR"/>
            </w:rPr>
            <w:t xml:space="preserve">, </w:t>
          </w:r>
          <w:r w:rsidRPr="00F864EA">
            <w:rPr>
              <w:rFonts w:ascii="Times New Roman" w:hAnsi="Times New Roman" w:cs="Times New Roman"/>
              <w:b/>
              <w:bCs/>
              <w:iCs/>
              <w:sz w:val="18"/>
              <w:szCs w:val="10"/>
              <w:lang w:bidi="fa-IR"/>
            </w:rPr>
            <w:t xml:space="preserve">Hossein </w:t>
          </w:r>
          <w:proofErr w:type="spellStart"/>
          <w:r w:rsidRPr="00F864EA">
            <w:rPr>
              <w:rFonts w:ascii="Times New Roman" w:hAnsi="Times New Roman" w:cs="Times New Roman"/>
              <w:b/>
              <w:bCs/>
              <w:iCs/>
              <w:sz w:val="18"/>
              <w:szCs w:val="10"/>
              <w:lang w:bidi="fa-IR"/>
            </w:rPr>
            <w:t>Samsami</w:t>
          </w:r>
          <w:proofErr w:type="spellEnd"/>
          <w:r w:rsidRPr="00F864EA">
            <w:rPr>
              <w:rFonts w:ascii="Times New Roman" w:hAnsi="Times New Roman" w:cs="Times New Roman"/>
              <w:b/>
              <w:bCs/>
              <w:iCs/>
              <w:sz w:val="18"/>
              <w:szCs w:val="10"/>
              <w:lang w:bidi="fa-IR"/>
            </w:rPr>
            <w:t xml:space="preserve"> </w:t>
          </w:r>
          <w:proofErr w:type="spellStart"/>
          <w:r w:rsidRPr="00F864EA">
            <w:rPr>
              <w:rFonts w:ascii="Times New Roman" w:hAnsi="Times New Roman" w:cs="Times New Roman"/>
              <w:b/>
              <w:bCs/>
              <w:iCs/>
              <w:sz w:val="18"/>
              <w:szCs w:val="10"/>
              <w:lang w:bidi="fa-IR"/>
            </w:rPr>
            <w:t>Mazrae</w:t>
          </w:r>
          <w:proofErr w:type="spellEnd"/>
          <w:r w:rsidRPr="00F864EA">
            <w:rPr>
              <w:rFonts w:ascii="Times New Roman" w:hAnsi="Times New Roman" w:cs="Times New Roman"/>
              <w:b/>
              <w:bCs/>
              <w:iCs/>
              <w:sz w:val="18"/>
              <w:szCs w:val="10"/>
              <w:lang w:bidi="fa-IR"/>
            </w:rPr>
            <w:t xml:space="preserve"> Akhund</w:t>
          </w:r>
        </w:p>
        <w:p w14:paraId="4D5E50A2" w14:textId="77884825" w:rsidR="0002155A" w:rsidRPr="00427E63" w:rsidRDefault="0002155A" w:rsidP="009A3F32">
          <w:pPr>
            <w:jc w:val="both"/>
            <w:rPr>
              <w:rFonts w:ascii="Times New Roman" w:hAnsi="Times New Roman" w:cs="Times New Roman"/>
              <w:b/>
              <w:bCs/>
              <w:lang w:bidi="fa-IR"/>
            </w:rPr>
          </w:pPr>
          <w:r w:rsidRPr="001C6DED">
            <w:rPr>
              <w:rFonts w:ascii="Times New Roman" w:hAnsi="Times New Roman" w:cs="Times New Roman"/>
              <w:b/>
              <w:bCs/>
              <w:i/>
              <w:iCs/>
              <w:sz w:val="16"/>
              <w:szCs w:val="16"/>
              <w:lang w:bidi="fa-IR"/>
            </w:rPr>
            <w:t xml:space="preserve">Quarterly Journal of Quantitative </w:t>
          </w:r>
          <w:proofErr w:type="gramStart"/>
          <w:r w:rsidRPr="001C6DED">
            <w:rPr>
              <w:rFonts w:ascii="Times New Roman" w:hAnsi="Times New Roman" w:cs="Times New Roman"/>
              <w:b/>
              <w:bCs/>
              <w:i/>
              <w:iCs/>
              <w:sz w:val="16"/>
              <w:szCs w:val="16"/>
              <w:lang w:bidi="fa-IR"/>
            </w:rPr>
            <w:t>Economics(</w:t>
          </w:r>
          <w:proofErr w:type="gramEnd"/>
          <w:r w:rsidRPr="001C6DED">
            <w:rPr>
              <w:rFonts w:ascii="Times New Roman" w:hAnsi="Times New Roman" w:cs="Times New Roman"/>
              <w:b/>
              <w:bCs/>
              <w:i/>
              <w:iCs/>
              <w:sz w:val="16"/>
              <w:szCs w:val="16"/>
              <w:lang w:bidi="fa-IR"/>
            </w:rPr>
            <w:t>JQE</w:t>
          </w:r>
          <w:r w:rsidR="00DD14E1">
            <w:rPr>
              <w:rFonts w:ascii="Times New Roman" w:hAnsi="Times New Roman" w:cs="Times New Roman"/>
              <w:b/>
              <w:bCs/>
              <w:sz w:val="16"/>
              <w:szCs w:val="16"/>
              <w:lang w:bidi="fa-IR"/>
            </w:rPr>
            <w:t>(2026) 23(1)</w:t>
          </w:r>
        </w:p>
      </w:tc>
      <w:tc>
        <w:tcPr>
          <w:tcW w:w="772" w:type="pct"/>
          <w:tcBorders>
            <w:top w:val="nil"/>
            <w:left w:val="nil"/>
            <w:bottom w:val="single" w:sz="12" w:space="0" w:color="auto"/>
            <w:right w:val="nil"/>
          </w:tcBorders>
          <w:vAlign w:val="center"/>
        </w:tcPr>
        <w:p w14:paraId="364828F9" w14:textId="77777777" w:rsidR="0002155A" w:rsidRPr="00427E63" w:rsidRDefault="0002155A" w:rsidP="009A3F32">
          <w:pPr>
            <w:rPr>
              <w:rFonts w:ascii="Times New Roman" w:hAnsi="Times New Roman" w:cs="Times New Roman"/>
              <w:b/>
              <w:bCs/>
              <w:rtl/>
            </w:rPr>
          </w:pPr>
          <w:r w:rsidRPr="00427E63">
            <w:rPr>
              <w:rFonts w:ascii="Times New Roman" w:hAnsi="Times New Roman" w:cs="Times New Roman"/>
              <w:b/>
              <w:bCs/>
              <w:noProof/>
            </w:rPr>
            <w:drawing>
              <wp:inline distT="0" distB="0" distL="0" distR="0" wp14:anchorId="47D5DA55" wp14:editId="7225CAD0">
                <wp:extent cx="1127760" cy="62843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94" t="3191" r="6029" b="16421"/>
                        <a:stretch/>
                      </pic:blipFill>
                      <pic:spPr bwMode="auto">
                        <a:xfrm>
                          <a:off x="0" y="0"/>
                          <a:ext cx="1129606" cy="629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B2FDA1C" w14:textId="77777777" w:rsidR="0002155A" w:rsidRDefault="00021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49F32" w14:textId="77777777" w:rsidR="0002155A" w:rsidRDefault="0002155A" w:rsidP="009A3F32">
    <w:pPr>
      <w:jc w:val="center"/>
      <w:rPr>
        <w:rFonts w:ascii="Times New Roman" w:hAnsi="Times New Roman" w:cs="Times New Roman"/>
        <w:b/>
        <w:bCs/>
        <w:i/>
        <w:iCs/>
        <w:rtl/>
        <w:lang w:bidi="fa-IR"/>
      </w:rPr>
    </w:pPr>
  </w:p>
  <w:p w14:paraId="0A1C1982" w14:textId="77777777" w:rsidR="0002155A" w:rsidRDefault="0002155A" w:rsidP="009A3F32">
    <w:pPr>
      <w:jc w:val="center"/>
      <w:rPr>
        <w:rFonts w:ascii="Times New Roman" w:hAnsi="Times New Roman" w:cs="Times New Roman"/>
        <w:b/>
        <w:bCs/>
        <w:i/>
        <w:iCs/>
        <w:rtl/>
        <w:lang w:bidi="fa-IR"/>
      </w:rPr>
    </w:pPr>
  </w:p>
  <w:p w14:paraId="730B499E" w14:textId="69485ED1" w:rsidR="0002155A" w:rsidRDefault="0002155A" w:rsidP="009A3F32">
    <w:pPr>
      <w:jc w:val="center"/>
      <w:rPr>
        <w:rFonts w:ascii="Times New Roman" w:hAnsi="Times New Roman" w:cs="Times New Roman"/>
        <w:b/>
        <w:bCs/>
        <w:lang w:bidi="fa-IR"/>
      </w:rPr>
    </w:pPr>
    <w:r>
      <w:rPr>
        <w:rFonts w:ascii="Times New Roman" w:hAnsi="Times New Roman" w:cs="Times New Roman"/>
        <w:b/>
        <w:bCs/>
        <w:i/>
        <w:iCs/>
        <w:lang w:bidi="fa-IR"/>
      </w:rPr>
      <w:t xml:space="preserve">Quarterly Journal of Quantitative </w:t>
    </w:r>
    <w:proofErr w:type="gramStart"/>
    <w:r>
      <w:rPr>
        <w:rFonts w:ascii="Times New Roman" w:hAnsi="Times New Roman" w:cs="Times New Roman"/>
        <w:b/>
        <w:bCs/>
        <w:i/>
        <w:iCs/>
        <w:lang w:bidi="fa-IR"/>
      </w:rPr>
      <w:t>Economics(</w:t>
    </w:r>
    <w:proofErr w:type="gramEnd"/>
    <w:r>
      <w:rPr>
        <w:rFonts w:ascii="Times New Roman" w:hAnsi="Times New Roman" w:cs="Times New Roman"/>
        <w:b/>
        <w:bCs/>
        <w:i/>
        <w:iCs/>
        <w:lang w:bidi="fa-IR"/>
      </w:rPr>
      <w:t xml:space="preserve">JQE) </w:t>
    </w:r>
    <w:r w:rsidR="00DD14E1">
      <w:rPr>
        <w:rFonts w:ascii="Times New Roman" w:hAnsi="Times New Roman" w:cs="Times New Roman"/>
        <w:b/>
        <w:bCs/>
        <w:i/>
        <w:iCs/>
        <w:lang w:bidi="fa-IR"/>
      </w:rPr>
      <w:t xml:space="preserve">(2026) </w:t>
    </w:r>
    <w:r w:rsidR="00DD14E1">
      <w:rPr>
        <w:rFonts w:ascii="Times New Roman" w:hAnsi="Times New Roman" w:cs="Times New Roman"/>
        <w:b/>
        <w:bCs/>
        <w:lang w:bidi="fa-IR"/>
      </w:rPr>
      <w:t xml:space="preserve">23(1)  </w:t>
    </w:r>
    <w:r w:rsidR="00647FD7">
      <w:rPr>
        <w:rFonts w:ascii="Times New Roman" w:hAnsi="Times New Roman" w:cs="Times New Roman"/>
        <w:b/>
        <w:bCs/>
        <w:lang w:bidi="fa-IR"/>
      </w:rPr>
      <w:t>133</w:t>
    </w:r>
    <w:r w:rsidR="00DD14E1">
      <w:rPr>
        <w:rFonts w:ascii="Times New Roman" w:hAnsi="Times New Roman" w:cs="Times New Roman"/>
        <w:b/>
        <w:bCs/>
        <w:lang w:bidi="fa-IR"/>
      </w:rPr>
      <w:t>-</w:t>
    </w:r>
    <w:r w:rsidR="00647FD7">
      <w:rPr>
        <w:rFonts w:ascii="Times New Roman" w:hAnsi="Times New Roman" w:cs="Times New Roman"/>
        <w:b/>
        <w:bCs/>
        <w:lang w:bidi="fa-IR"/>
      </w:rPr>
      <w:t>170</w:t>
    </w:r>
  </w:p>
  <w:tbl>
    <w:tblPr>
      <w:tblW w:w="0" w:type="auto"/>
      <w:tblLook w:val="04A0" w:firstRow="1" w:lastRow="0" w:firstColumn="1" w:lastColumn="0" w:noHBand="0" w:noVBand="1"/>
    </w:tblPr>
    <w:tblGrid>
      <w:gridCol w:w="1926"/>
      <w:gridCol w:w="2798"/>
      <w:gridCol w:w="2030"/>
    </w:tblGrid>
    <w:tr w:rsidR="0002155A" w:rsidRPr="00237191" w14:paraId="594A5CE8" w14:textId="77777777" w:rsidTr="00425028">
      <w:trPr>
        <w:trHeight w:val="2107"/>
      </w:trPr>
      <w:tc>
        <w:tcPr>
          <w:tcW w:w="0" w:type="auto"/>
          <w:tcBorders>
            <w:top w:val="single" w:sz="8" w:space="0" w:color="000000"/>
            <w:bottom w:val="single" w:sz="36" w:space="0" w:color="000000"/>
          </w:tcBorders>
          <w:vAlign w:val="center"/>
        </w:tcPr>
        <w:p w14:paraId="131437D9" w14:textId="77777777" w:rsidR="0002155A" w:rsidRPr="00237191" w:rsidRDefault="0002155A" w:rsidP="009A3F32">
          <w:pPr>
            <w:pStyle w:val="Header"/>
            <w:jc w:val="center"/>
            <w:rPr>
              <w:rFonts w:ascii="Times New Roman" w:hAnsi="Times New Roman" w:cs="Times New Roman"/>
            </w:rPr>
          </w:pPr>
          <w:r w:rsidRPr="00237191">
            <w:rPr>
              <w:rFonts w:ascii="Times New Roman" w:hAnsi="Times New Roman" w:cs="Times New Roman"/>
              <w:noProof/>
            </w:rPr>
            <w:drawing>
              <wp:inline distT="0" distB="0" distL="0" distR="0" wp14:anchorId="2EE288E5" wp14:editId="43AA926E">
                <wp:extent cx="1080000" cy="9360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80000" cy="936000"/>
                        </a:xfrm>
                        <a:prstGeom prst="rect">
                          <a:avLst/>
                        </a:prstGeom>
                      </pic:spPr>
                    </pic:pic>
                  </a:graphicData>
                </a:graphic>
              </wp:inline>
            </w:drawing>
          </w:r>
        </w:p>
      </w:tc>
      <w:tc>
        <w:tcPr>
          <w:tcW w:w="0" w:type="auto"/>
          <w:tcBorders>
            <w:top w:val="single" w:sz="8" w:space="0" w:color="000000"/>
            <w:bottom w:val="single" w:sz="36" w:space="0" w:color="000000"/>
          </w:tcBorders>
          <w:shd w:val="clear" w:color="auto" w:fill="D9D9D9" w:themeFill="background1" w:themeFillShade="D9"/>
          <w:vAlign w:val="center"/>
        </w:tcPr>
        <w:p w14:paraId="09AF46A5" w14:textId="77777777" w:rsidR="0002155A" w:rsidRDefault="0002155A" w:rsidP="009A3F32">
          <w:pPr>
            <w:pStyle w:val="Header"/>
            <w:jc w:val="center"/>
            <w:rPr>
              <w:rFonts w:ascii="Times New Roman" w:hAnsi="Times New Roman" w:cs="Times New Roman"/>
              <w:b/>
              <w:bCs/>
              <w:sz w:val="24"/>
              <w:szCs w:val="24"/>
            </w:rPr>
          </w:pPr>
        </w:p>
        <w:p w14:paraId="2435CE02" w14:textId="77777777" w:rsidR="0002155A" w:rsidRDefault="0002155A" w:rsidP="009A3F32">
          <w:pPr>
            <w:pStyle w:val="Header"/>
            <w:jc w:val="center"/>
            <w:rPr>
              <w:rFonts w:ascii="Times New Roman" w:hAnsi="Times New Roman" w:cs="Times New Roman"/>
              <w:b/>
              <w:bCs/>
              <w:sz w:val="24"/>
              <w:szCs w:val="24"/>
            </w:rPr>
          </w:pPr>
        </w:p>
        <w:p w14:paraId="3F2CE0B1" w14:textId="77777777" w:rsidR="0002155A" w:rsidRPr="00C55D14" w:rsidRDefault="0002155A" w:rsidP="009A3F32">
          <w:pPr>
            <w:pStyle w:val="Header"/>
            <w:jc w:val="center"/>
            <w:rPr>
              <w:rFonts w:ascii="Times New Roman" w:hAnsi="Times New Roman" w:cs="Times New Roman"/>
              <w:b/>
              <w:bCs/>
              <w:sz w:val="24"/>
              <w:szCs w:val="24"/>
            </w:rPr>
          </w:pPr>
          <w:r w:rsidRPr="00C55D14">
            <w:rPr>
              <w:rFonts w:ascii="Times New Roman" w:hAnsi="Times New Roman" w:cs="Times New Roman"/>
              <w:b/>
              <w:bCs/>
              <w:sz w:val="24"/>
              <w:szCs w:val="24"/>
            </w:rPr>
            <w:t>Quarterly Journal of Quantitative Economics</w:t>
          </w:r>
        </w:p>
        <w:p w14:paraId="37B4C875" w14:textId="77777777" w:rsidR="0002155A" w:rsidRPr="00C55D14" w:rsidRDefault="0002155A" w:rsidP="009A3F32">
          <w:pPr>
            <w:pStyle w:val="Header"/>
            <w:jc w:val="center"/>
            <w:rPr>
              <w:rFonts w:ascii="Times New Roman" w:hAnsi="Times New Roman" w:cs="Times New Roman"/>
              <w:b/>
              <w:bCs/>
              <w:sz w:val="24"/>
              <w:szCs w:val="24"/>
              <w:lang w:bidi="fa-IR"/>
            </w:rPr>
          </w:pPr>
        </w:p>
        <w:p w14:paraId="2D7B0865" w14:textId="77777777" w:rsidR="0002155A" w:rsidRDefault="0002155A" w:rsidP="009A3F32">
          <w:pPr>
            <w:pStyle w:val="Header"/>
            <w:jc w:val="both"/>
            <w:rPr>
              <w:rFonts w:ascii="Times New Roman" w:hAnsi="Times New Roman" w:cs="Times New Roman"/>
            </w:rPr>
          </w:pPr>
          <w:r w:rsidRPr="00C55D14">
            <w:rPr>
              <w:rFonts w:ascii="Times New Roman" w:hAnsi="Times New Roman" w:cs="Times New Roman"/>
            </w:rPr>
            <w:t>Journal Homepage:</w:t>
          </w:r>
          <w:r>
            <w:rPr>
              <w:rFonts w:ascii="Times New Roman" w:hAnsi="Times New Roman" w:cs="Times New Roman"/>
            </w:rPr>
            <w:t xml:space="preserve"> </w:t>
          </w:r>
        </w:p>
        <w:p w14:paraId="63FDE700" w14:textId="77777777" w:rsidR="0002155A" w:rsidRPr="00C55D14" w:rsidRDefault="00000000" w:rsidP="009A3F32">
          <w:pPr>
            <w:pStyle w:val="Header"/>
            <w:jc w:val="both"/>
            <w:rPr>
              <w:rFonts w:ascii="Times New Roman" w:hAnsi="Times New Roman" w:cs="Times New Roman"/>
              <w:rtl/>
              <w:lang w:bidi="fa-IR"/>
            </w:rPr>
          </w:pPr>
          <w:hyperlink r:id="rId2" w:history="1">
            <w:r w:rsidR="0002155A" w:rsidRPr="00A13AEB">
              <w:rPr>
                <w:rStyle w:val="Hyperlink"/>
                <w:rFonts w:ascii="Times New Roman" w:hAnsi="Times New Roman" w:cs="Times New Roman"/>
                <w:lang w:bidi="fa-IR"/>
              </w:rPr>
              <w:t>www.jqe.scu.ac.ir</w:t>
            </w:r>
          </w:hyperlink>
        </w:p>
        <w:p w14:paraId="1E93E2D0" w14:textId="77777777" w:rsidR="0002155A" w:rsidRDefault="0002155A" w:rsidP="009A3F32">
          <w:pPr>
            <w:pStyle w:val="Header"/>
            <w:jc w:val="both"/>
            <w:rPr>
              <w:rFonts w:ascii="Times New Roman" w:hAnsi="Times New Roman" w:cs="Times New Roman"/>
              <w:lang w:bidi="fa-IR"/>
            </w:rPr>
          </w:pPr>
          <w:r w:rsidRPr="00C55D14">
            <w:rPr>
              <w:rFonts w:ascii="Times New Roman" w:hAnsi="Times New Roman" w:cs="Times New Roman"/>
              <w:lang w:bidi="fa-IR"/>
            </w:rPr>
            <w:t>Print ISSN: 2008-5850</w:t>
          </w:r>
        </w:p>
        <w:p w14:paraId="2A710A0C" w14:textId="77777777" w:rsidR="0002155A" w:rsidRPr="00237191" w:rsidRDefault="0002155A" w:rsidP="009A3F32">
          <w:pPr>
            <w:pStyle w:val="Header"/>
            <w:jc w:val="both"/>
            <w:rPr>
              <w:rFonts w:ascii="Times New Roman" w:hAnsi="Times New Roman" w:cs="Times New Roman"/>
              <w:sz w:val="16"/>
              <w:szCs w:val="16"/>
              <w:lang w:bidi="fa-IR"/>
            </w:rPr>
          </w:pPr>
          <w:r w:rsidRPr="00C55D14">
            <w:rPr>
              <w:rFonts w:ascii="Times New Roman" w:hAnsi="Times New Roman" w:cs="Times New Roman"/>
              <w:lang w:bidi="fa-IR"/>
            </w:rPr>
            <w:t>Online ISSN: 2717-4271</w:t>
          </w:r>
        </w:p>
      </w:tc>
      <w:tc>
        <w:tcPr>
          <w:tcW w:w="0" w:type="auto"/>
          <w:vAlign w:val="center"/>
        </w:tcPr>
        <w:p w14:paraId="4D9B48F2" w14:textId="77777777" w:rsidR="0002155A" w:rsidRPr="00237191" w:rsidRDefault="0002155A" w:rsidP="009A3F32">
          <w:pPr>
            <w:pStyle w:val="Header"/>
            <w:jc w:val="center"/>
            <w:rPr>
              <w:rFonts w:ascii="Times New Roman" w:hAnsi="Times New Roman" w:cs="Times New Roman"/>
            </w:rPr>
          </w:pPr>
          <w:r>
            <w:rPr>
              <w:noProof/>
            </w:rPr>
            <w:drawing>
              <wp:inline distT="0" distB="0" distL="0" distR="0" wp14:anchorId="01C06C9E" wp14:editId="4E139707">
                <wp:extent cx="1152144" cy="1435608"/>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3" cstate="hqprint">
                          <a:extLst>
                            <a:ext uri="{28A0092B-C50C-407E-A947-70E740481C1C}">
                              <a14:useLocalDpi xmlns:a14="http://schemas.microsoft.com/office/drawing/2010/main"/>
                            </a:ext>
                          </a:extLst>
                        </a:blip>
                        <a:stretch>
                          <a:fillRect/>
                        </a:stretch>
                      </pic:blipFill>
                      <pic:spPr>
                        <a:xfrm>
                          <a:off x="0" y="0"/>
                          <a:ext cx="1152144" cy="1435608"/>
                        </a:xfrm>
                        <a:prstGeom prst="rect">
                          <a:avLst/>
                        </a:prstGeom>
                      </pic:spPr>
                    </pic:pic>
                  </a:graphicData>
                </a:graphic>
              </wp:inline>
            </w:drawing>
          </w:r>
        </w:p>
      </w:tc>
    </w:tr>
  </w:tbl>
  <w:p w14:paraId="14DB06D4" w14:textId="77777777" w:rsidR="0002155A" w:rsidRDefault="000215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F04E" w14:textId="707D2886" w:rsidR="00C66C22" w:rsidRPr="00427E63" w:rsidRDefault="00C66C22" w:rsidP="009C589C">
    <w:pPr>
      <w:pStyle w:val="Header"/>
      <w:rPr>
        <w:b/>
        <w:bCs/>
      </w:rPr>
    </w:pPr>
  </w:p>
  <w:p w14:paraId="0C889CCF" w14:textId="77777777" w:rsidR="000215E6" w:rsidRPr="00427E63" w:rsidRDefault="000215E6" w:rsidP="009C589C">
    <w:pPr>
      <w:pStyle w:val="Header"/>
      <w:rPr>
        <w:b/>
        <w:bCs/>
      </w:rPr>
    </w:pPr>
  </w:p>
  <w:tbl>
    <w:tblPr>
      <w:tblStyle w:val="TableGrid"/>
      <w:bidiVisual/>
      <w:tblW w:w="5000" w:type="pct"/>
      <w:tblLook w:val="04A0" w:firstRow="1" w:lastRow="0" w:firstColumn="1" w:lastColumn="0" w:noHBand="0" w:noVBand="1"/>
    </w:tblPr>
    <w:tblGrid>
      <w:gridCol w:w="316"/>
      <w:gridCol w:w="4446"/>
      <w:gridCol w:w="1992"/>
    </w:tblGrid>
    <w:tr w:rsidR="000215E6" w:rsidRPr="00427E63" w14:paraId="444EEB0A" w14:textId="77777777" w:rsidTr="00ED1651">
      <w:tc>
        <w:tcPr>
          <w:tcW w:w="156" w:type="pct"/>
          <w:tcBorders>
            <w:top w:val="nil"/>
            <w:left w:val="nil"/>
            <w:bottom w:val="single" w:sz="12" w:space="0" w:color="auto"/>
            <w:right w:val="nil"/>
          </w:tcBorders>
          <w:vAlign w:val="center"/>
        </w:tcPr>
        <w:p w14:paraId="36F1B263" w14:textId="2DA7F7F6" w:rsidR="000215E6" w:rsidRPr="00427E63" w:rsidRDefault="000215E6" w:rsidP="00ED1651">
          <w:pPr>
            <w:jc w:val="both"/>
            <w:rPr>
              <w:rFonts w:ascii="Times New Roman" w:hAnsi="Times New Roman" w:cs="Times New Roman"/>
              <w:b/>
              <w:bCs/>
            </w:rPr>
          </w:pPr>
          <w:r w:rsidRPr="00427E63">
            <w:rPr>
              <w:rFonts w:ascii="Times New Roman" w:hAnsi="Times New Roman" w:cs="Times New Roman"/>
              <w:b/>
              <w:bCs/>
            </w:rPr>
            <w:fldChar w:fldCharType="begin"/>
          </w:r>
          <w:r w:rsidRPr="00427E63">
            <w:rPr>
              <w:rFonts w:ascii="Times New Roman" w:hAnsi="Times New Roman" w:cs="Times New Roman"/>
              <w:b/>
              <w:bCs/>
            </w:rPr>
            <w:instrText xml:space="preserve"> PAGE   \* MERGEFORMAT </w:instrText>
          </w:r>
          <w:r w:rsidRPr="00427E63">
            <w:rPr>
              <w:rFonts w:ascii="Times New Roman" w:hAnsi="Times New Roman" w:cs="Times New Roman"/>
              <w:b/>
              <w:bCs/>
            </w:rPr>
            <w:fldChar w:fldCharType="separate"/>
          </w:r>
          <w:r w:rsidR="003642DB">
            <w:rPr>
              <w:rFonts w:ascii="Times New Roman" w:hAnsi="Times New Roman" w:cs="Times New Roman"/>
              <w:b/>
              <w:bCs/>
              <w:noProof/>
            </w:rPr>
            <w:t>11</w:t>
          </w:r>
          <w:r w:rsidRPr="00427E63">
            <w:rPr>
              <w:rFonts w:ascii="Times New Roman" w:hAnsi="Times New Roman" w:cs="Times New Roman"/>
              <w:b/>
              <w:bCs/>
              <w:noProof/>
            </w:rPr>
            <w:fldChar w:fldCharType="end"/>
          </w:r>
        </w:p>
      </w:tc>
      <w:tc>
        <w:tcPr>
          <w:tcW w:w="4072" w:type="pct"/>
          <w:tcBorders>
            <w:top w:val="nil"/>
            <w:left w:val="nil"/>
            <w:bottom w:val="single" w:sz="12" w:space="0" w:color="auto"/>
            <w:right w:val="nil"/>
          </w:tcBorders>
          <w:vAlign w:val="center"/>
        </w:tcPr>
        <w:p w14:paraId="71554D5D" w14:textId="58BCB2C0" w:rsidR="000215E6" w:rsidRPr="001C6DED" w:rsidRDefault="000215E6" w:rsidP="00ED1651">
          <w:pPr>
            <w:jc w:val="both"/>
            <w:rPr>
              <w:rFonts w:ascii="Times New Roman" w:hAnsi="Times New Roman" w:cs="Times New Roman"/>
              <w:b/>
              <w:bCs/>
              <w:iCs/>
              <w:sz w:val="16"/>
              <w:szCs w:val="16"/>
              <w:lang w:bidi="fa-IR"/>
            </w:rPr>
          </w:pPr>
          <w:proofErr w:type="spellStart"/>
          <w:r w:rsidRPr="001C6DED">
            <w:rPr>
              <w:rFonts w:ascii="Times New Roman" w:hAnsi="Times New Roman" w:cs="Times New Roman"/>
              <w:b/>
              <w:bCs/>
              <w:iCs/>
              <w:sz w:val="18"/>
              <w:szCs w:val="10"/>
              <w:lang w:bidi="fa-IR"/>
            </w:rPr>
            <w:t>Autors</w:t>
          </w:r>
          <w:proofErr w:type="spellEnd"/>
          <w:r w:rsidRPr="001C6DED">
            <w:rPr>
              <w:rFonts w:ascii="Times New Roman" w:hAnsi="Times New Roman" w:cs="Times New Roman"/>
              <w:b/>
              <w:bCs/>
              <w:iCs/>
              <w:sz w:val="18"/>
              <w:szCs w:val="10"/>
              <w:lang w:bidi="fa-IR"/>
            </w:rPr>
            <w:t xml:space="preserve"> Name </w:t>
          </w:r>
          <w:r w:rsidRPr="001C6DED">
            <w:rPr>
              <w:rFonts w:ascii="Times New Roman" w:hAnsi="Times New Roman" w:cs="Times New Roman"/>
              <w:b/>
              <w:bCs/>
              <w:iCs/>
              <w:sz w:val="18"/>
              <w:szCs w:val="18"/>
              <w:lang w:bidi="fa-IR"/>
            </w:rPr>
            <w:t>(</w:t>
          </w:r>
          <w:proofErr w:type="spellStart"/>
          <w:r w:rsidRPr="001C6DED">
            <w:rPr>
              <w:rFonts w:ascii="Times New Roman" w:hAnsi="Times New Roman" w:cs="Times New Roman"/>
              <w:b/>
              <w:bCs/>
              <w:iCs/>
              <w:sz w:val="18"/>
              <w:szCs w:val="18"/>
              <w:lang w:bidi="fa-IR"/>
            </w:rPr>
            <w:t>TimeNewsRoman</w:t>
          </w:r>
          <w:proofErr w:type="spellEnd"/>
          <w:r w:rsidRPr="001C6DED">
            <w:rPr>
              <w:rFonts w:ascii="Times New Roman" w:hAnsi="Times New Roman" w:cs="Times New Roman"/>
              <w:b/>
              <w:bCs/>
              <w:iCs/>
              <w:sz w:val="18"/>
              <w:szCs w:val="18"/>
              <w:lang w:bidi="fa-IR"/>
            </w:rPr>
            <w:t xml:space="preserve">, Left, Regular,  </w:t>
          </w:r>
          <w:r w:rsidR="001C6DED">
            <w:rPr>
              <w:rFonts w:ascii="Times New Roman" w:hAnsi="Times New Roman" w:cs="Times New Roman"/>
              <w:b/>
              <w:bCs/>
              <w:iCs/>
              <w:sz w:val="18"/>
              <w:szCs w:val="18"/>
              <w:lang w:bidi="fa-IR"/>
            </w:rPr>
            <w:t>9</w:t>
          </w:r>
          <w:r w:rsidRPr="001C6DED">
            <w:rPr>
              <w:rFonts w:ascii="Times New Roman" w:hAnsi="Times New Roman" w:cs="Times New Roman"/>
              <w:b/>
              <w:bCs/>
              <w:iCs/>
              <w:sz w:val="18"/>
              <w:szCs w:val="18"/>
              <w:lang w:bidi="fa-IR"/>
            </w:rPr>
            <w:t>point)</w:t>
          </w:r>
        </w:p>
        <w:p w14:paraId="7085DAF9" w14:textId="61FDC694" w:rsidR="000215E6" w:rsidRPr="00427E63" w:rsidRDefault="000215E6" w:rsidP="00ED1651">
          <w:pPr>
            <w:jc w:val="both"/>
            <w:rPr>
              <w:rFonts w:ascii="Times New Roman" w:hAnsi="Times New Roman" w:cs="Times New Roman"/>
              <w:b/>
              <w:bCs/>
              <w:lang w:bidi="fa-IR"/>
            </w:rPr>
          </w:pPr>
          <w:r w:rsidRPr="001C6DED">
            <w:rPr>
              <w:rFonts w:ascii="Times New Roman" w:hAnsi="Times New Roman" w:cs="Times New Roman"/>
              <w:b/>
              <w:bCs/>
              <w:i/>
              <w:iCs/>
              <w:sz w:val="16"/>
              <w:szCs w:val="16"/>
              <w:lang w:bidi="fa-IR"/>
            </w:rPr>
            <w:t>Quarterly Journal of Quantitative Economics(JQE)</w:t>
          </w:r>
          <w:r w:rsidRPr="001C6DED">
            <w:rPr>
              <w:rFonts w:ascii="Times New Roman" w:hAnsi="Times New Roman" w:cs="Times New Roman"/>
              <w:b/>
              <w:bCs/>
              <w:sz w:val="16"/>
              <w:szCs w:val="16"/>
              <w:lang w:bidi="fa-IR"/>
            </w:rPr>
            <w:t xml:space="preserve">  (year)  issue(volume)   p-p</w:t>
          </w:r>
        </w:p>
      </w:tc>
      <w:tc>
        <w:tcPr>
          <w:tcW w:w="772" w:type="pct"/>
          <w:tcBorders>
            <w:top w:val="nil"/>
            <w:left w:val="nil"/>
            <w:bottom w:val="single" w:sz="12" w:space="0" w:color="auto"/>
            <w:right w:val="nil"/>
          </w:tcBorders>
          <w:vAlign w:val="center"/>
        </w:tcPr>
        <w:p w14:paraId="5A2E7BC4" w14:textId="55F9BA40" w:rsidR="000215E6" w:rsidRPr="00427E63" w:rsidRDefault="000215E6" w:rsidP="000215E6">
          <w:pPr>
            <w:rPr>
              <w:rFonts w:ascii="Times New Roman" w:hAnsi="Times New Roman" w:cs="Times New Roman"/>
              <w:b/>
              <w:bCs/>
              <w:rtl/>
            </w:rPr>
          </w:pPr>
          <w:r w:rsidRPr="00427E63">
            <w:rPr>
              <w:rFonts w:ascii="Times New Roman" w:hAnsi="Times New Roman" w:cs="Times New Roman"/>
              <w:b/>
              <w:bCs/>
              <w:noProof/>
            </w:rPr>
            <w:drawing>
              <wp:inline distT="0" distB="0" distL="0" distR="0" wp14:anchorId="686B0A94" wp14:editId="6D81CE18">
                <wp:extent cx="1127760" cy="628438"/>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94" t="3191" r="6029" b="16421"/>
                        <a:stretch/>
                      </pic:blipFill>
                      <pic:spPr bwMode="auto">
                        <a:xfrm>
                          <a:off x="0" y="0"/>
                          <a:ext cx="1129606" cy="629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3A974C7" w14:textId="77777777" w:rsidR="000215E6" w:rsidRPr="00427E63" w:rsidRDefault="000215E6" w:rsidP="009C589C">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68.75pt;height:168.75pt;visibility:visible;mso-wrap-style:square" o:bullet="t">
        <v:imagedata r:id="rId1" o:title=""/>
      </v:shape>
    </w:pict>
  </w:numPicBullet>
  <w:numPicBullet w:numPicBulletId="1">
    <w:pict>
      <v:shape id="_x0000_i1096" type="#_x0000_t75" style="width:11.25pt;height:11.25pt;visibility:visible;mso-wrap-style:square" o:bullet="t">
        <v:imagedata r:id="rId2" o:title=""/>
      </v:shape>
    </w:pict>
  </w:numPicBullet>
  <w:abstractNum w:abstractNumId="0" w15:restartNumberingAfterBreak="0">
    <w:nsid w:val="04572B2B"/>
    <w:multiLevelType w:val="hybridMultilevel"/>
    <w:tmpl w:val="D2E65852"/>
    <w:lvl w:ilvl="0" w:tplc="C8E0C01A">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75A5A"/>
    <w:multiLevelType w:val="hybridMultilevel"/>
    <w:tmpl w:val="E10AC5E6"/>
    <w:lvl w:ilvl="0" w:tplc="8E14206A">
      <w:start w:val="4"/>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D156A"/>
    <w:multiLevelType w:val="hybridMultilevel"/>
    <w:tmpl w:val="D5DE3D26"/>
    <w:lvl w:ilvl="0" w:tplc="8E14206A">
      <w:start w:val="4"/>
      <w:numFmt w:val="bullet"/>
      <w:lvlText w:val="-"/>
      <w:lvlJc w:val="left"/>
      <w:pPr>
        <w:ind w:left="416" w:hanging="360"/>
      </w:pPr>
      <w:rPr>
        <w:rFonts w:ascii="Gandom" w:eastAsiaTheme="minorHAnsi" w:hAnsi="Gandom" w:cs="Gandom" w:hint="default"/>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3" w15:restartNumberingAfterBreak="0">
    <w:nsid w:val="205C198D"/>
    <w:multiLevelType w:val="hybridMultilevel"/>
    <w:tmpl w:val="7208293C"/>
    <w:lvl w:ilvl="0" w:tplc="C9485D02">
      <w:start w:val="3"/>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5569D"/>
    <w:multiLevelType w:val="hybridMultilevel"/>
    <w:tmpl w:val="81AC2A08"/>
    <w:lvl w:ilvl="0" w:tplc="4A82DBDE">
      <w:start w:val="5"/>
      <w:numFmt w:val="bullet"/>
      <w:lvlText w:val="-"/>
      <w:lvlJc w:val="left"/>
      <w:pPr>
        <w:ind w:left="720" w:hanging="360"/>
      </w:pPr>
      <w:rPr>
        <w:rFonts w:ascii="Gandom" w:eastAsiaTheme="minorHAnsi" w:hAnsi="Gandom" w:cs="Gando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3A7B2B"/>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2C76785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321ED9"/>
    <w:multiLevelType w:val="multilevel"/>
    <w:tmpl w:val="A608EE1C"/>
    <w:lvl w:ilvl="0">
      <w:start w:val="1"/>
      <w:numFmt w:val="decimal"/>
      <w:pStyle w:val="Heading1"/>
      <w:lvlText w:val="%1-"/>
      <w:lvlJc w:val="left"/>
      <w:pPr>
        <w:ind w:left="432" w:hanging="432"/>
      </w:pPr>
      <w:rPr>
        <w:rFonts w:hint="default"/>
        <w:sz w:val="22"/>
        <w:szCs w:val="22"/>
      </w:rPr>
    </w:lvl>
    <w:lvl w:ilvl="1">
      <w:start w:val="1"/>
      <w:numFmt w:val="decimal"/>
      <w:pStyle w:val="Heading2"/>
      <w:lvlText w:val="%1-%2-"/>
      <w:lvlJc w:val="left"/>
      <w:pPr>
        <w:ind w:left="576" w:hanging="576"/>
      </w:pPr>
      <w:rPr>
        <w:rFonts w:ascii="Times New Roman" w:hAnsi="Times New Roman" w:hint="default"/>
        <w:b/>
        <w:bCs/>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2"/>
      <w:numFmt w:val="decimal"/>
      <w:pStyle w:val="Heading3"/>
      <w:lvlText w:val="%1-%2-%3-"/>
      <w:lvlJc w:val="left"/>
      <w:pPr>
        <w:ind w:left="720" w:hanging="720"/>
      </w:pPr>
      <w:rPr>
        <w:rFonts w:ascii="Times New Roman" w:hAnsi="Times New Roman" w:cs="B Nazanin" w:hint="default"/>
        <w:b/>
        <w:bCs/>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lvlRestart w:val="0"/>
      <w:pStyle w:val="Heading5"/>
      <w:lvlText w:val="جدول %5."/>
      <w:lvlJc w:val="left"/>
      <w:pPr>
        <w:ind w:left="1008" w:hanging="1008"/>
      </w:pPr>
      <w:rPr>
        <w:rFonts w:ascii="Times New Roman" w:hAnsi="Times New Roman"/>
        <w:b w:val="0"/>
        <w:bCs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Restart w:val="0"/>
      <w:pStyle w:val="Heading6"/>
      <w:lvlText w:val="نمودار%6."/>
      <w:lvlJc w:val="left"/>
      <w:pPr>
        <w:ind w:left="1152" w:hanging="1152"/>
      </w:pPr>
      <w:rPr>
        <w:rFonts w:hint="default"/>
        <w:sz w:val="28"/>
        <w:szCs w:val="24"/>
      </w:rPr>
    </w:lvl>
    <w:lvl w:ilvl="6">
      <w:start w:val="1"/>
      <w:numFmt w:val="decimal"/>
      <w:lvlRestart w:val="0"/>
      <w:pStyle w:val="Heading7"/>
      <w:lvlText w:val="شکل%7."/>
      <w:lvlJc w:val="left"/>
      <w:pPr>
        <w:ind w:left="1296" w:hanging="1296"/>
      </w:pPr>
      <w:rPr>
        <w:rFonts w:ascii="Times New Roman" w:hAnsi="Times New Roman"/>
        <w:b/>
        <w:bCs/>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Restart w:val="0"/>
      <w:pStyle w:val="Heading8"/>
      <w:lvlText w:val="(%8)"/>
      <w:lvlJc w:val="left"/>
      <w:pPr>
        <w:ind w:left="1440" w:hanging="1440"/>
      </w:pPr>
      <w:rPr>
        <w:rFonts w:cs="B Nazanin" w:hint="cs"/>
        <w:bCs w:val="0"/>
        <w:i w:val="0"/>
        <w:iCs/>
        <w:sz w:val="26"/>
        <w:szCs w:val="26"/>
      </w:rPr>
    </w:lvl>
    <w:lvl w:ilvl="8">
      <w:start w:val="1"/>
      <w:numFmt w:val="decimal"/>
      <w:pStyle w:val="Heading9"/>
      <w:lvlText w:val="%1.%2.%3.%4.%5.%6.%7.%8.%9"/>
      <w:lvlJc w:val="left"/>
      <w:pPr>
        <w:ind w:left="1584" w:hanging="1584"/>
      </w:pPr>
      <w:rPr>
        <w:rFonts w:hint="default"/>
      </w:rPr>
    </w:lvl>
  </w:abstractNum>
  <w:abstractNum w:abstractNumId="8" w15:restartNumberingAfterBreak="0">
    <w:nsid w:val="3E73075F"/>
    <w:multiLevelType w:val="hybridMultilevel"/>
    <w:tmpl w:val="ED3C9A28"/>
    <w:lvl w:ilvl="0" w:tplc="B2002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483C9F"/>
    <w:multiLevelType w:val="hybridMultilevel"/>
    <w:tmpl w:val="A978DF6A"/>
    <w:lvl w:ilvl="0" w:tplc="0B4CA3F8">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AF34CC"/>
    <w:multiLevelType w:val="multilevel"/>
    <w:tmpl w:val="0A302CDC"/>
    <w:styleLink w:val="Article"/>
    <w:lvl w:ilvl="0">
      <w:start w:val="1"/>
      <w:numFmt w:val="decimal"/>
      <w:suff w:val="space"/>
      <w:lvlText w:val="%1."/>
      <w:lvlJc w:val="left"/>
      <w:pPr>
        <w:ind w:left="720" w:hanging="360"/>
      </w:pPr>
      <w:rPr>
        <w:rFonts w:cs="B Badr" w:hint="cs"/>
        <w:bCs/>
        <w:iCs w:val="0"/>
        <w:szCs w:val="32"/>
      </w:rPr>
    </w:lvl>
    <w:lvl w:ilvl="1">
      <w:start w:val="1"/>
      <w:numFmt w:val="decimal"/>
      <w:isLgl/>
      <w:lvlText w:val="%1.%2."/>
      <w:lvlJc w:val="left"/>
      <w:pPr>
        <w:ind w:left="1080" w:hanging="720"/>
      </w:pPr>
      <w:rPr>
        <w:rFonts w:cs="B Badr" w:hint="default"/>
        <w:bCs/>
        <w:szCs w:val="28"/>
      </w:rPr>
    </w:lvl>
    <w:lvl w:ilvl="2">
      <w:start w:val="1"/>
      <w:numFmt w:val="decimal"/>
      <w:isLgl/>
      <w:lvlText w:val="%1.%2.%3."/>
      <w:lvlJc w:val="left"/>
      <w:pPr>
        <w:ind w:left="1080" w:hanging="720"/>
      </w:pPr>
      <w:rPr>
        <w:rFonts w:cs="B Badr" w:hint="default"/>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lvlRestart w:val="0"/>
      <w:suff w:val="space"/>
      <w:lvlText w:val="شکل  %6:"/>
      <w:lvlJc w:val="left"/>
      <w:pPr>
        <w:ind w:left="0" w:firstLine="0"/>
      </w:pPr>
      <w:rPr>
        <w:rFonts w:hint="default"/>
      </w:rPr>
    </w:lvl>
    <w:lvl w:ilvl="6">
      <w:start w:val="1"/>
      <w:numFmt w:val="decimal"/>
      <w:lvlRestart w:val="0"/>
      <w:suff w:val="space"/>
      <w:lvlText w:val="جدول %7:"/>
      <w:lvlJc w:val="left"/>
      <w:pPr>
        <w:ind w:left="0" w:firstLine="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28F115D"/>
    <w:multiLevelType w:val="hybridMultilevel"/>
    <w:tmpl w:val="612E8B42"/>
    <w:lvl w:ilvl="0" w:tplc="D70EE9DE">
      <w:start w:val="4"/>
      <w:numFmt w:val="bullet"/>
      <w:lvlText w:val="-"/>
      <w:lvlJc w:val="left"/>
      <w:pPr>
        <w:ind w:left="416" w:hanging="360"/>
      </w:pPr>
      <w:rPr>
        <w:rFonts w:ascii="Gandom" w:eastAsiaTheme="minorHAnsi" w:hAnsi="Gandom" w:cs="Gandom" w:hint="default"/>
        <w:color w:val="auto"/>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12" w15:restartNumberingAfterBreak="0">
    <w:nsid w:val="53FF1E7A"/>
    <w:multiLevelType w:val="multilevel"/>
    <w:tmpl w:val="8DDE2A6A"/>
    <w:styleLink w:val="MyStyle"/>
    <w:lvl w:ilvl="0">
      <w:start w:val="3"/>
      <w:numFmt w:val="decimal"/>
      <w:isLgl/>
      <w:suff w:val="space"/>
      <w:lvlText w:val="فصل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0" w:firstLine="0"/>
      </w:pPr>
      <w:rPr>
        <w:rFonts w:hint="default"/>
      </w:rPr>
    </w:lvl>
    <w:lvl w:ilvl="5">
      <w:start w:val="1"/>
      <w:numFmt w:val="decimal"/>
      <w:lvlRestart w:val="1"/>
      <w:lvlText w:val="شکل %1.%6"/>
      <w:lvlJc w:val="center"/>
      <w:pPr>
        <w:ind w:left="0" w:firstLine="0"/>
      </w:pPr>
      <w:rPr>
        <w:rFonts w:hint="default"/>
      </w:rPr>
    </w:lvl>
    <w:lvl w:ilvl="6">
      <w:start w:val="1"/>
      <w:numFmt w:val="decimal"/>
      <w:lvlRestart w:val="1"/>
      <w:lvlText w:val="جدول %1.%7"/>
      <w:lvlJc w:val="center"/>
      <w:pPr>
        <w:ind w:left="0" w:firstLine="0"/>
      </w:pPr>
      <w:rPr>
        <w:rFonts w:hint="default"/>
      </w:rPr>
    </w:lvl>
    <w:lvl w:ilvl="7">
      <w:start w:val="1"/>
      <w:numFmt w:val="decimal"/>
      <w:lvlRestart w:val="1"/>
      <w:suff w:val="space"/>
      <w:lvlText w:val="مثال %1.%8"/>
      <w:lvlJc w:val="left"/>
      <w:pPr>
        <w:ind w:left="0" w:firstLine="0"/>
      </w:pPr>
      <w:rPr>
        <w:rFonts w:cs="B Badr" w:hint="default"/>
        <w:bCs/>
        <w:szCs w:val="32"/>
      </w:rPr>
    </w:lvl>
    <w:lvl w:ilvl="8">
      <w:start w:val="1"/>
      <w:numFmt w:val="none"/>
      <w:lvlRestart w:val="3"/>
      <w:isLgl/>
      <w:lvlText w:val="%1.%2.%3.%4"/>
      <w:lvlJc w:val="left"/>
      <w:pPr>
        <w:ind w:left="0" w:firstLine="288"/>
      </w:pPr>
      <w:rPr>
        <w:rFonts w:hint="default"/>
      </w:rPr>
    </w:lvl>
  </w:abstractNum>
  <w:abstractNum w:abstractNumId="13" w15:restartNumberingAfterBreak="0">
    <w:nsid w:val="5B033FF9"/>
    <w:multiLevelType w:val="hybridMultilevel"/>
    <w:tmpl w:val="5E5699E4"/>
    <w:lvl w:ilvl="0" w:tplc="CB4EF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514D04"/>
    <w:multiLevelType w:val="hybridMultilevel"/>
    <w:tmpl w:val="380478F6"/>
    <w:lvl w:ilvl="0" w:tplc="E50A55B4">
      <w:numFmt w:val="bullet"/>
      <w:lvlText w:val=""/>
      <w:lvlJc w:val="left"/>
      <w:pPr>
        <w:ind w:left="720" w:hanging="360"/>
      </w:pPr>
      <w:rPr>
        <w:rFonts w:ascii="Symbol" w:eastAsia="Times New Roman" w:hAnsi="Symbol" w:cs="B Nazani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D41AA4"/>
    <w:multiLevelType w:val="hybridMultilevel"/>
    <w:tmpl w:val="FA2282CA"/>
    <w:lvl w:ilvl="0" w:tplc="7E9CC49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7BC91AA7"/>
    <w:multiLevelType w:val="hybridMultilevel"/>
    <w:tmpl w:val="BB28A248"/>
    <w:lvl w:ilvl="0" w:tplc="3D52DF80">
      <w:start w:val="2"/>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7D945A2C"/>
    <w:multiLevelType w:val="hybridMultilevel"/>
    <w:tmpl w:val="1DAA4A20"/>
    <w:lvl w:ilvl="0" w:tplc="FD0EB9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E47A3B"/>
    <w:multiLevelType w:val="multilevel"/>
    <w:tmpl w:val="BEBE343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Restart w:val="1"/>
      <w:lvlText w:val="جدول %1-%5."/>
      <w:lvlJc w:val="left"/>
      <w:pPr>
        <w:ind w:left="1008" w:hanging="1008"/>
      </w:pPr>
      <w:rPr>
        <w:rFonts w:hint="default"/>
      </w:rPr>
    </w:lvl>
    <w:lvl w:ilvl="5">
      <w:start w:val="1"/>
      <w:numFmt w:val="decimal"/>
      <w:lvlRestart w:val="1"/>
      <w:lvlText w:val="نمودار %1-%6."/>
      <w:lvlJc w:val="left"/>
      <w:pPr>
        <w:ind w:left="1152" w:hanging="1152"/>
      </w:pPr>
      <w:rPr>
        <w:rFonts w:hint="default"/>
      </w:rPr>
    </w:lvl>
    <w:lvl w:ilvl="6">
      <w:start w:val="1"/>
      <w:numFmt w:val="decimal"/>
      <w:lvlRestart w:val="1"/>
      <w:lvlText w:val="شکل %1-%7."/>
      <w:lvlJc w:val="left"/>
      <w:pPr>
        <w:ind w:left="1296" w:hanging="1296"/>
      </w:pPr>
      <w:rPr>
        <w:rFonts w:hint="default"/>
      </w:rPr>
    </w:lvl>
    <w:lvl w:ilvl="7">
      <w:start w:val="1"/>
      <w:numFmt w:val="decimal"/>
      <w:lvlRestart w:val="1"/>
      <w:lvlText w:val=" (%1-%8)"/>
      <w:lvlJc w:val="left"/>
      <w:pPr>
        <w:ind w:left="1440" w:hanging="1440"/>
      </w:pPr>
      <w:rPr>
        <w:rFonts w:cs="B Lotus" w:hint="cs"/>
        <w:bCs w:val="0"/>
        <w:iCs w:val="0"/>
        <w:sz w:val="28"/>
        <w:szCs w:val="28"/>
      </w:rPr>
    </w:lvl>
    <w:lvl w:ilvl="8">
      <w:start w:val="1"/>
      <w:numFmt w:val="decimal"/>
      <w:lvlRestart w:val="0"/>
      <w:lvlText w:val="جدول %9."/>
      <w:lvlJc w:val="left"/>
      <w:pPr>
        <w:ind w:left="1584" w:hanging="1584"/>
      </w:pPr>
      <w:rPr>
        <w:rFonts w:hint="default"/>
      </w:rPr>
    </w:lvl>
  </w:abstractNum>
  <w:abstractNum w:abstractNumId="19" w15:restartNumberingAfterBreak="0">
    <w:nsid w:val="7E780ACD"/>
    <w:multiLevelType w:val="multilevel"/>
    <w:tmpl w:val="4866C640"/>
    <w:styleLink w:val="Style1"/>
    <w:lvl w:ilvl="0">
      <w:start w:val="1"/>
      <w:numFmt w:val="decimal"/>
      <w:suff w:val="space"/>
      <w:lvlText w:val="فصل %1"/>
      <w:lvlJc w:val="left"/>
      <w:pPr>
        <w:ind w:left="0" w:firstLine="0"/>
      </w:pPr>
      <w:rPr>
        <w:rFonts w:hint="default"/>
      </w:rPr>
    </w:lvl>
    <w:lvl w:ilvl="1">
      <w:start w:val="1"/>
      <w:numFmt w:val="decimal"/>
      <w:suff w:val="space"/>
      <w:lvlText w:val="%1.%2"/>
      <w:lvlJc w:val="left"/>
      <w:pPr>
        <w:ind w:left="0" w:firstLine="340"/>
      </w:pPr>
      <w:rPr>
        <w:rFonts w:hint="default"/>
      </w:rPr>
    </w:lvl>
    <w:lvl w:ilvl="2">
      <w:start w:val="1"/>
      <w:numFmt w:val="decimal"/>
      <w:suff w:val="space"/>
      <w:lvlText w:val="%1.%2.%3"/>
      <w:lvlJc w:val="left"/>
      <w:pPr>
        <w:ind w:left="0" w:firstLine="340"/>
      </w:pPr>
      <w:rPr>
        <w:rFonts w:hint="default"/>
      </w:rPr>
    </w:lvl>
    <w:lvl w:ilvl="3">
      <w:start w:val="1"/>
      <w:numFmt w:val="decimal"/>
      <w:lvlRestart w:val="1"/>
      <w:lvlText w:val="(%1.%4)"/>
      <w:lvlJc w:val="left"/>
      <w:pPr>
        <w:tabs>
          <w:tab w:val="num" w:pos="3600"/>
        </w:tabs>
        <w:ind w:left="0" w:firstLine="0"/>
      </w:pPr>
      <w:rPr>
        <w:rFonts w:hint="default"/>
      </w:rPr>
    </w:lvl>
    <w:lvl w:ilvl="4">
      <w:start w:val="1"/>
      <w:numFmt w:val="decimal"/>
      <w:lvlText w:val="%5."/>
      <w:lvlJc w:val="left"/>
      <w:pPr>
        <w:ind w:left="4320" w:hanging="360"/>
      </w:pPr>
      <w:rPr>
        <w:rFonts w:hint="default"/>
      </w:rPr>
    </w:lvl>
    <w:lvl w:ilvl="5">
      <w:start w:val="1"/>
      <w:numFmt w:val="decimal"/>
      <w:lvlRestart w:val="1"/>
      <w:lvlText w:val="شکل %1.%6"/>
      <w:lvlJc w:val="center"/>
      <w:pPr>
        <w:ind w:left="5040" w:hanging="180"/>
      </w:pPr>
      <w:rPr>
        <w:rFonts w:hint="default"/>
      </w:rPr>
    </w:lvl>
    <w:lvl w:ilvl="6">
      <w:start w:val="1"/>
      <w:numFmt w:val="decimal"/>
      <w:lvlRestart w:val="1"/>
      <w:lvlText w:val="جدول %1.%7"/>
      <w:lvlJc w:val="center"/>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1706558700">
    <w:abstractNumId w:val="17"/>
  </w:num>
  <w:num w:numId="2" w16cid:durableId="143157151">
    <w:abstractNumId w:val="7"/>
  </w:num>
  <w:num w:numId="3" w16cid:durableId="1413235377">
    <w:abstractNumId w:val="6"/>
  </w:num>
  <w:num w:numId="4" w16cid:durableId="460418100">
    <w:abstractNumId w:val="10"/>
  </w:num>
  <w:num w:numId="5" w16cid:durableId="706760807">
    <w:abstractNumId w:val="12"/>
  </w:num>
  <w:num w:numId="6" w16cid:durableId="815414759">
    <w:abstractNumId w:val="19"/>
  </w:num>
  <w:num w:numId="7" w16cid:durableId="1637056477">
    <w:abstractNumId w:val="13"/>
  </w:num>
  <w:num w:numId="8" w16cid:durableId="339161882">
    <w:abstractNumId w:val="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4200389">
    <w:abstractNumId w:val="18"/>
  </w:num>
  <w:num w:numId="10" w16cid:durableId="276256546">
    <w:abstractNumId w:val="1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1592594">
    <w:abstractNumId w:val="5"/>
  </w:num>
  <w:num w:numId="12" w16cid:durableId="1799838564">
    <w:abstractNumId w:val="15"/>
  </w:num>
  <w:num w:numId="13" w16cid:durableId="1961182272">
    <w:abstractNumId w:val="14"/>
  </w:num>
  <w:num w:numId="14" w16cid:durableId="2020310475">
    <w:abstractNumId w:val="9"/>
  </w:num>
  <w:num w:numId="15" w16cid:durableId="94785389">
    <w:abstractNumId w:val="11"/>
  </w:num>
  <w:num w:numId="16" w16cid:durableId="2088380395">
    <w:abstractNumId w:val="2"/>
  </w:num>
  <w:num w:numId="17" w16cid:durableId="211575254">
    <w:abstractNumId w:val="3"/>
  </w:num>
  <w:num w:numId="18" w16cid:durableId="715156181">
    <w:abstractNumId w:val="4"/>
  </w:num>
  <w:num w:numId="19" w16cid:durableId="1044719322">
    <w:abstractNumId w:val="0"/>
  </w:num>
  <w:num w:numId="20" w16cid:durableId="242761822">
    <w:abstractNumId w:val="1"/>
  </w:num>
  <w:num w:numId="21" w16cid:durableId="1404060049">
    <w:abstractNumId w:val="8"/>
  </w:num>
  <w:num w:numId="22" w16cid:durableId="21421883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r90wv96pepe0ezdxkp00py2ad52v22ptsd&quot;&gt;My Library-Converted&lt;record-ids&gt;&lt;item&gt;4&lt;/item&gt;&lt;item&gt;10&lt;/item&gt;&lt;item&gt;11&lt;/item&gt;&lt;item&gt;12&lt;/item&gt;&lt;item&gt;181&lt;/item&gt;&lt;/record-ids&gt;&lt;/item&gt;&lt;/Libraries&gt;"/>
  </w:docVars>
  <w:rsids>
    <w:rsidRoot w:val="00004AE3"/>
    <w:rsid w:val="0000051D"/>
    <w:rsid w:val="00004AE3"/>
    <w:rsid w:val="0001219D"/>
    <w:rsid w:val="0001262F"/>
    <w:rsid w:val="00012C33"/>
    <w:rsid w:val="0002155A"/>
    <w:rsid w:val="000215E6"/>
    <w:rsid w:val="00031542"/>
    <w:rsid w:val="000352A5"/>
    <w:rsid w:val="0003596A"/>
    <w:rsid w:val="00037B1F"/>
    <w:rsid w:val="000574BF"/>
    <w:rsid w:val="00070031"/>
    <w:rsid w:val="000761FF"/>
    <w:rsid w:val="00080A7F"/>
    <w:rsid w:val="0008401D"/>
    <w:rsid w:val="00091D93"/>
    <w:rsid w:val="00091EBC"/>
    <w:rsid w:val="000962D4"/>
    <w:rsid w:val="00097A1D"/>
    <w:rsid w:val="000A0257"/>
    <w:rsid w:val="000A27A9"/>
    <w:rsid w:val="000A3A8B"/>
    <w:rsid w:val="000B3904"/>
    <w:rsid w:val="000B4CBE"/>
    <w:rsid w:val="000B65F2"/>
    <w:rsid w:val="000B7FAA"/>
    <w:rsid w:val="000D393C"/>
    <w:rsid w:val="000E3E7D"/>
    <w:rsid w:val="000E4D7D"/>
    <w:rsid w:val="00102545"/>
    <w:rsid w:val="00110417"/>
    <w:rsid w:val="00125480"/>
    <w:rsid w:val="001323F6"/>
    <w:rsid w:val="00136CEE"/>
    <w:rsid w:val="00156AE2"/>
    <w:rsid w:val="00156CF6"/>
    <w:rsid w:val="00156D5E"/>
    <w:rsid w:val="00164028"/>
    <w:rsid w:val="00164455"/>
    <w:rsid w:val="0016637E"/>
    <w:rsid w:val="00167016"/>
    <w:rsid w:val="0018040A"/>
    <w:rsid w:val="001856FB"/>
    <w:rsid w:val="001907B8"/>
    <w:rsid w:val="001915F5"/>
    <w:rsid w:val="00192FD2"/>
    <w:rsid w:val="00193770"/>
    <w:rsid w:val="001A46BF"/>
    <w:rsid w:val="001A6C8D"/>
    <w:rsid w:val="001B1113"/>
    <w:rsid w:val="001B50A0"/>
    <w:rsid w:val="001C6DED"/>
    <w:rsid w:val="001D0FCD"/>
    <w:rsid w:val="002029C1"/>
    <w:rsid w:val="0020315D"/>
    <w:rsid w:val="00223EA2"/>
    <w:rsid w:val="002274D6"/>
    <w:rsid w:val="00233AD8"/>
    <w:rsid w:val="002366BA"/>
    <w:rsid w:val="00240E34"/>
    <w:rsid w:val="002501E0"/>
    <w:rsid w:val="00250376"/>
    <w:rsid w:val="00260BB3"/>
    <w:rsid w:val="002623DF"/>
    <w:rsid w:val="00271C47"/>
    <w:rsid w:val="00283F3B"/>
    <w:rsid w:val="00290797"/>
    <w:rsid w:val="00295805"/>
    <w:rsid w:val="002B1439"/>
    <w:rsid w:val="002B53DC"/>
    <w:rsid w:val="002C09C5"/>
    <w:rsid w:val="002C53E3"/>
    <w:rsid w:val="002E0186"/>
    <w:rsid w:val="002E412B"/>
    <w:rsid w:val="002F442C"/>
    <w:rsid w:val="002F68DD"/>
    <w:rsid w:val="0030590D"/>
    <w:rsid w:val="00312246"/>
    <w:rsid w:val="0031386C"/>
    <w:rsid w:val="00315D19"/>
    <w:rsid w:val="00342405"/>
    <w:rsid w:val="00343C15"/>
    <w:rsid w:val="003642DB"/>
    <w:rsid w:val="00373720"/>
    <w:rsid w:val="00373B30"/>
    <w:rsid w:val="00382011"/>
    <w:rsid w:val="003901FB"/>
    <w:rsid w:val="003911CF"/>
    <w:rsid w:val="003916DD"/>
    <w:rsid w:val="003917B6"/>
    <w:rsid w:val="003A1D1F"/>
    <w:rsid w:val="003A2112"/>
    <w:rsid w:val="003B439B"/>
    <w:rsid w:val="003B4653"/>
    <w:rsid w:val="003B5340"/>
    <w:rsid w:val="003B7488"/>
    <w:rsid w:val="003C02C9"/>
    <w:rsid w:val="003C1A9D"/>
    <w:rsid w:val="003C5FED"/>
    <w:rsid w:val="003D126C"/>
    <w:rsid w:val="003D23C8"/>
    <w:rsid w:val="003E046A"/>
    <w:rsid w:val="003F493E"/>
    <w:rsid w:val="003F5D79"/>
    <w:rsid w:val="003F64AB"/>
    <w:rsid w:val="00427E63"/>
    <w:rsid w:val="00440BBF"/>
    <w:rsid w:val="00442777"/>
    <w:rsid w:val="0044605E"/>
    <w:rsid w:val="004469F1"/>
    <w:rsid w:val="00463EBF"/>
    <w:rsid w:val="00470880"/>
    <w:rsid w:val="00482887"/>
    <w:rsid w:val="00483986"/>
    <w:rsid w:val="00494F65"/>
    <w:rsid w:val="004A18A5"/>
    <w:rsid w:val="004A40AA"/>
    <w:rsid w:val="004A468A"/>
    <w:rsid w:val="004A7360"/>
    <w:rsid w:val="004B095C"/>
    <w:rsid w:val="004B0EED"/>
    <w:rsid w:val="004C29FF"/>
    <w:rsid w:val="004D62CB"/>
    <w:rsid w:val="004D72D2"/>
    <w:rsid w:val="004E3BE4"/>
    <w:rsid w:val="004E5B58"/>
    <w:rsid w:val="004F4BEC"/>
    <w:rsid w:val="00502E37"/>
    <w:rsid w:val="00511E91"/>
    <w:rsid w:val="00543E41"/>
    <w:rsid w:val="005516E3"/>
    <w:rsid w:val="00556958"/>
    <w:rsid w:val="005577A3"/>
    <w:rsid w:val="00565A58"/>
    <w:rsid w:val="00567852"/>
    <w:rsid w:val="00594B47"/>
    <w:rsid w:val="00596402"/>
    <w:rsid w:val="005A458B"/>
    <w:rsid w:val="005A7340"/>
    <w:rsid w:val="005B0FC2"/>
    <w:rsid w:val="005B7BDE"/>
    <w:rsid w:val="005C1660"/>
    <w:rsid w:val="005D69CF"/>
    <w:rsid w:val="005D743E"/>
    <w:rsid w:val="005E7072"/>
    <w:rsid w:val="005F0FB0"/>
    <w:rsid w:val="005F1FBB"/>
    <w:rsid w:val="005F4CA8"/>
    <w:rsid w:val="00600568"/>
    <w:rsid w:val="00603FFF"/>
    <w:rsid w:val="00605D94"/>
    <w:rsid w:val="0062637E"/>
    <w:rsid w:val="006303FF"/>
    <w:rsid w:val="00631DD8"/>
    <w:rsid w:val="00636A93"/>
    <w:rsid w:val="00641228"/>
    <w:rsid w:val="00642DB6"/>
    <w:rsid w:val="00647467"/>
    <w:rsid w:val="00647FD7"/>
    <w:rsid w:val="00671743"/>
    <w:rsid w:val="00693B02"/>
    <w:rsid w:val="00694494"/>
    <w:rsid w:val="006A3A75"/>
    <w:rsid w:val="006A4DA8"/>
    <w:rsid w:val="006A5E41"/>
    <w:rsid w:val="006A6D6B"/>
    <w:rsid w:val="006B4ABA"/>
    <w:rsid w:val="006C0D2F"/>
    <w:rsid w:val="006C1169"/>
    <w:rsid w:val="006C447D"/>
    <w:rsid w:val="006D3098"/>
    <w:rsid w:val="006F1FA7"/>
    <w:rsid w:val="006F210E"/>
    <w:rsid w:val="006F786F"/>
    <w:rsid w:val="00706DAD"/>
    <w:rsid w:val="0071003E"/>
    <w:rsid w:val="007100D9"/>
    <w:rsid w:val="00720AC9"/>
    <w:rsid w:val="007335B3"/>
    <w:rsid w:val="00735791"/>
    <w:rsid w:val="00741E1F"/>
    <w:rsid w:val="00752BC7"/>
    <w:rsid w:val="007739C7"/>
    <w:rsid w:val="00782E65"/>
    <w:rsid w:val="00784DE9"/>
    <w:rsid w:val="00790ED7"/>
    <w:rsid w:val="007A492E"/>
    <w:rsid w:val="007A5162"/>
    <w:rsid w:val="007C0C9D"/>
    <w:rsid w:val="007C1112"/>
    <w:rsid w:val="007C1698"/>
    <w:rsid w:val="007C4326"/>
    <w:rsid w:val="007E1AE4"/>
    <w:rsid w:val="007F2701"/>
    <w:rsid w:val="007F3CE3"/>
    <w:rsid w:val="007F5BBA"/>
    <w:rsid w:val="007F6A45"/>
    <w:rsid w:val="00820891"/>
    <w:rsid w:val="0082760A"/>
    <w:rsid w:val="0083517C"/>
    <w:rsid w:val="00837EAB"/>
    <w:rsid w:val="00851325"/>
    <w:rsid w:val="0085467E"/>
    <w:rsid w:val="00861CF8"/>
    <w:rsid w:val="00880D0A"/>
    <w:rsid w:val="00883041"/>
    <w:rsid w:val="008A64B0"/>
    <w:rsid w:val="008B612C"/>
    <w:rsid w:val="008B6B05"/>
    <w:rsid w:val="008B7568"/>
    <w:rsid w:val="008C6867"/>
    <w:rsid w:val="008C7418"/>
    <w:rsid w:val="008D62EA"/>
    <w:rsid w:val="008D78F9"/>
    <w:rsid w:val="008E2193"/>
    <w:rsid w:val="008F1C1F"/>
    <w:rsid w:val="008F1ECA"/>
    <w:rsid w:val="008F5B2E"/>
    <w:rsid w:val="00903467"/>
    <w:rsid w:val="009070EC"/>
    <w:rsid w:val="00917452"/>
    <w:rsid w:val="009214F8"/>
    <w:rsid w:val="00922091"/>
    <w:rsid w:val="009259AD"/>
    <w:rsid w:val="00936E7E"/>
    <w:rsid w:val="0094321C"/>
    <w:rsid w:val="00950131"/>
    <w:rsid w:val="009546FC"/>
    <w:rsid w:val="0096173A"/>
    <w:rsid w:val="00966747"/>
    <w:rsid w:val="0097115B"/>
    <w:rsid w:val="009918BF"/>
    <w:rsid w:val="009922D5"/>
    <w:rsid w:val="009956A2"/>
    <w:rsid w:val="009A3F32"/>
    <w:rsid w:val="009A6936"/>
    <w:rsid w:val="009A735C"/>
    <w:rsid w:val="009C02D8"/>
    <w:rsid w:val="009C5554"/>
    <w:rsid w:val="009C589C"/>
    <w:rsid w:val="009D476F"/>
    <w:rsid w:val="009D6B95"/>
    <w:rsid w:val="00A023D7"/>
    <w:rsid w:val="00A05B35"/>
    <w:rsid w:val="00A25394"/>
    <w:rsid w:val="00A26DF0"/>
    <w:rsid w:val="00A34747"/>
    <w:rsid w:val="00A50FB9"/>
    <w:rsid w:val="00A7240B"/>
    <w:rsid w:val="00A947A3"/>
    <w:rsid w:val="00AA11B3"/>
    <w:rsid w:val="00AA7C6F"/>
    <w:rsid w:val="00AB683F"/>
    <w:rsid w:val="00AE7106"/>
    <w:rsid w:val="00AF5611"/>
    <w:rsid w:val="00AF584A"/>
    <w:rsid w:val="00AF6F68"/>
    <w:rsid w:val="00AF70CD"/>
    <w:rsid w:val="00B034A6"/>
    <w:rsid w:val="00B21BFA"/>
    <w:rsid w:val="00B25023"/>
    <w:rsid w:val="00B27048"/>
    <w:rsid w:val="00B271EF"/>
    <w:rsid w:val="00B34DB4"/>
    <w:rsid w:val="00B5191F"/>
    <w:rsid w:val="00B63EB4"/>
    <w:rsid w:val="00B65E09"/>
    <w:rsid w:val="00B6690B"/>
    <w:rsid w:val="00B7220C"/>
    <w:rsid w:val="00B87F63"/>
    <w:rsid w:val="00B905DA"/>
    <w:rsid w:val="00B914C7"/>
    <w:rsid w:val="00BA2759"/>
    <w:rsid w:val="00BD5653"/>
    <w:rsid w:val="00BE12A8"/>
    <w:rsid w:val="00BF7C80"/>
    <w:rsid w:val="00C03367"/>
    <w:rsid w:val="00C1316A"/>
    <w:rsid w:val="00C22109"/>
    <w:rsid w:val="00C265D0"/>
    <w:rsid w:val="00C2664B"/>
    <w:rsid w:val="00C31D21"/>
    <w:rsid w:val="00C33CA1"/>
    <w:rsid w:val="00C43CB3"/>
    <w:rsid w:val="00C518FD"/>
    <w:rsid w:val="00C52E88"/>
    <w:rsid w:val="00C56445"/>
    <w:rsid w:val="00C56D9A"/>
    <w:rsid w:val="00C61111"/>
    <w:rsid w:val="00C66C22"/>
    <w:rsid w:val="00C740AB"/>
    <w:rsid w:val="00C759EC"/>
    <w:rsid w:val="00C83E70"/>
    <w:rsid w:val="00C86EAF"/>
    <w:rsid w:val="00C925A1"/>
    <w:rsid w:val="00C96BE6"/>
    <w:rsid w:val="00CA40BA"/>
    <w:rsid w:val="00CB5843"/>
    <w:rsid w:val="00CD0631"/>
    <w:rsid w:val="00CD1C31"/>
    <w:rsid w:val="00CD3781"/>
    <w:rsid w:val="00CD6B0D"/>
    <w:rsid w:val="00CD7382"/>
    <w:rsid w:val="00CD7565"/>
    <w:rsid w:val="00CE3AD4"/>
    <w:rsid w:val="00CE7A8B"/>
    <w:rsid w:val="00CF592C"/>
    <w:rsid w:val="00D04C20"/>
    <w:rsid w:val="00D4681F"/>
    <w:rsid w:val="00D51FF3"/>
    <w:rsid w:val="00D524D1"/>
    <w:rsid w:val="00D56E61"/>
    <w:rsid w:val="00D677D1"/>
    <w:rsid w:val="00D76E8B"/>
    <w:rsid w:val="00D82209"/>
    <w:rsid w:val="00D8354F"/>
    <w:rsid w:val="00D84C9F"/>
    <w:rsid w:val="00D8613F"/>
    <w:rsid w:val="00D92262"/>
    <w:rsid w:val="00DA197E"/>
    <w:rsid w:val="00DB0326"/>
    <w:rsid w:val="00DC178C"/>
    <w:rsid w:val="00DC1799"/>
    <w:rsid w:val="00DC4C7F"/>
    <w:rsid w:val="00DD0DDC"/>
    <w:rsid w:val="00DD14E1"/>
    <w:rsid w:val="00DF4881"/>
    <w:rsid w:val="00E234D5"/>
    <w:rsid w:val="00E25129"/>
    <w:rsid w:val="00E352D4"/>
    <w:rsid w:val="00E51088"/>
    <w:rsid w:val="00E57E40"/>
    <w:rsid w:val="00E61EED"/>
    <w:rsid w:val="00E66E51"/>
    <w:rsid w:val="00E74CF7"/>
    <w:rsid w:val="00E7571F"/>
    <w:rsid w:val="00E93713"/>
    <w:rsid w:val="00E96166"/>
    <w:rsid w:val="00EB28BB"/>
    <w:rsid w:val="00EB35B7"/>
    <w:rsid w:val="00EB4831"/>
    <w:rsid w:val="00EC01F9"/>
    <w:rsid w:val="00EC0B4B"/>
    <w:rsid w:val="00ED1651"/>
    <w:rsid w:val="00EE1497"/>
    <w:rsid w:val="00EE5804"/>
    <w:rsid w:val="00EF0373"/>
    <w:rsid w:val="00F16C4D"/>
    <w:rsid w:val="00F20886"/>
    <w:rsid w:val="00F43F75"/>
    <w:rsid w:val="00F4695E"/>
    <w:rsid w:val="00F55E06"/>
    <w:rsid w:val="00F67C4C"/>
    <w:rsid w:val="00F770A7"/>
    <w:rsid w:val="00F77509"/>
    <w:rsid w:val="00F80E7C"/>
    <w:rsid w:val="00F864EA"/>
    <w:rsid w:val="00F87D14"/>
    <w:rsid w:val="00F87E50"/>
    <w:rsid w:val="00FA41A9"/>
    <w:rsid w:val="00FB63F0"/>
    <w:rsid w:val="00FC0210"/>
    <w:rsid w:val="00FC604C"/>
    <w:rsid w:val="00FD088F"/>
    <w:rsid w:val="00FE1278"/>
    <w:rsid w:val="00FE3E7A"/>
    <w:rsid w:val="00FE7E04"/>
    <w:rsid w:val="00FF34B6"/>
    <w:rsid w:val="00FF3E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C6AF2"/>
  <w15:chartTrackingRefBased/>
  <w15:docId w15:val="{C91B705D-3682-47DE-B110-944EB0B8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E7A"/>
    <w:rPr>
      <w:rFonts w:ascii="Gandom" w:hAnsi="Gandom" w:cs="Gandom"/>
      <w:sz w:val="20"/>
      <w:szCs w:val="20"/>
    </w:rPr>
  </w:style>
  <w:style w:type="paragraph" w:styleId="Heading1">
    <w:name w:val="heading 1"/>
    <w:basedOn w:val="Normal"/>
    <w:next w:val="Normal"/>
    <w:link w:val="Heading1Char"/>
    <w:uiPriority w:val="9"/>
    <w:qFormat/>
    <w:rsid w:val="00EE1497"/>
    <w:pPr>
      <w:keepNext/>
      <w:keepLines/>
      <w:numPr>
        <w:numId w:val="2"/>
      </w:numPr>
      <w:bidi/>
      <w:spacing w:before="240" w:after="0" w:line="240" w:lineRule="auto"/>
      <w:jc w:val="both"/>
      <w:outlineLvl w:val="0"/>
    </w:pPr>
    <w:rPr>
      <w:rFonts w:ascii="Times New Roman Bold" w:eastAsia="Times New Roman" w:hAnsi="Times New Roman Bold"/>
      <w:b/>
      <w:bCs/>
      <w:sz w:val="24"/>
      <w:szCs w:val="22"/>
      <w:lang w:bidi="fa-IR"/>
    </w:rPr>
  </w:style>
  <w:style w:type="paragraph" w:styleId="Heading2">
    <w:name w:val="heading 2"/>
    <w:basedOn w:val="Normal"/>
    <w:next w:val="Normal"/>
    <w:link w:val="Heading2Char"/>
    <w:uiPriority w:val="9"/>
    <w:unhideWhenUsed/>
    <w:qFormat/>
    <w:rsid w:val="006C1169"/>
    <w:pPr>
      <w:keepNext/>
      <w:keepLines/>
      <w:numPr>
        <w:ilvl w:val="1"/>
        <w:numId w:val="2"/>
      </w:numPr>
      <w:bidi/>
      <w:spacing w:before="240" w:after="0" w:line="240" w:lineRule="auto"/>
      <w:ind w:left="578" w:hanging="578"/>
      <w:jc w:val="both"/>
      <w:outlineLvl w:val="1"/>
    </w:pPr>
    <w:rPr>
      <w:rFonts w:ascii="Times New Roman" w:eastAsia="Times New Roman" w:hAnsi="Times New Roman" w:cs="B Nazanin"/>
      <w:b/>
      <w:bCs/>
      <w:i/>
      <w:szCs w:val="26"/>
      <w:lang w:bidi="fa-IR"/>
    </w:rPr>
  </w:style>
  <w:style w:type="paragraph" w:styleId="Heading3">
    <w:name w:val="heading 3"/>
    <w:basedOn w:val="Normal"/>
    <w:next w:val="Normal"/>
    <w:link w:val="Heading3Char"/>
    <w:uiPriority w:val="9"/>
    <w:unhideWhenUsed/>
    <w:qFormat/>
    <w:rsid w:val="007A492E"/>
    <w:pPr>
      <w:keepNext/>
      <w:keepLines/>
      <w:numPr>
        <w:ilvl w:val="2"/>
        <w:numId w:val="2"/>
      </w:numPr>
      <w:bidi/>
      <w:spacing w:before="40" w:after="0" w:line="240" w:lineRule="auto"/>
      <w:jc w:val="both"/>
      <w:outlineLvl w:val="2"/>
    </w:pPr>
    <w:rPr>
      <w:rFonts w:ascii="B Lotus" w:eastAsia="Times New Roman" w:hAnsi="B Lotus" w:cs="B Nazanin"/>
      <w:b/>
      <w:bCs/>
      <w:szCs w:val="26"/>
      <w:lang w:bidi="fa-IR"/>
    </w:rPr>
  </w:style>
  <w:style w:type="paragraph" w:styleId="Heading4">
    <w:name w:val="heading 4"/>
    <w:basedOn w:val="Normal"/>
    <w:next w:val="Normal"/>
    <w:link w:val="Heading4Char"/>
    <w:uiPriority w:val="9"/>
    <w:unhideWhenUsed/>
    <w:qFormat/>
    <w:rsid w:val="007A492E"/>
    <w:pPr>
      <w:keepNext/>
      <w:keepLines/>
      <w:numPr>
        <w:ilvl w:val="3"/>
        <w:numId w:val="2"/>
      </w:numPr>
      <w:bidi/>
      <w:spacing w:before="40" w:after="0" w:line="240" w:lineRule="auto"/>
      <w:jc w:val="both"/>
      <w:outlineLvl w:val="3"/>
    </w:pPr>
    <w:rPr>
      <w:rFonts w:ascii="Times New Roman" w:eastAsia="Times New Roman" w:hAnsi="Times New Roman" w:cs="B Lotus"/>
      <w:b/>
      <w:bCs/>
      <w:iCs/>
      <w:szCs w:val="26"/>
      <w:lang w:bidi="fa-IR"/>
    </w:rPr>
  </w:style>
  <w:style w:type="paragraph" w:styleId="Heading5">
    <w:name w:val="heading 5"/>
    <w:basedOn w:val="Normal"/>
    <w:next w:val="Normal"/>
    <w:link w:val="Heading5Char"/>
    <w:uiPriority w:val="9"/>
    <w:unhideWhenUsed/>
    <w:qFormat/>
    <w:rsid w:val="007A492E"/>
    <w:pPr>
      <w:keepNext/>
      <w:keepLines/>
      <w:numPr>
        <w:ilvl w:val="4"/>
        <w:numId w:val="2"/>
      </w:numPr>
      <w:bidi/>
      <w:spacing w:before="40" w:after="0" w:line="240" w:lineRule="auto"/>
      <w:jc w:val="center"/>
      <w:outlineLvl w:val="4"/>
    </w:pPr>
    <w:rPr>
      <w:rFonts w:ascii="Times New Roman Bold" w:eastAsia="Times New Roman" w:hAnsi="Times New Roman Bold" w:cs="B Nazanin"/>
      <w:b/>
      <w:bCs/>
      <w:i/>
      <w:szCs w:val="24"/>
      <w:lang w:bidi="fa-IR"/>
    </w:rPr>
  </w:style>
  <w:style w:type="paragraph" w:styleId="Heading6">
    <w:name w:val="heading 6"/>
    <w:basedOn w:val="Normal"/>
    <w:next w:val="Normal"/>
    <w:link w:val="Heading6Char"/>
    <w:uiPriority w:val="9"/>
    <w:unhideWhenUsed/>
    <w:qFormat/>
    <w:rsid w:val="007A492E"/>
    <w:pPr>
      <w:keepNext/>
      <w:keepLines/>
      <w:numPr>
        <w:ilvl w:val="5"/>
        <w:numId w:val="2"/>
      </w:numPr>
      <w:bidi/>
      <w:spacing w:before="40" w:after="0" w:line="240" w:lineRule="auto"/>
      <w:jc w:val="center"/>
      <w:outlineLvl w:val="5"/>
    </w:pPr>
    <w:rPr>
      <w:rFonts w:ascii="Times New Roman" w:eastAsia="Times New Roman" w:hAnsi="Times New Roman" w:cs="B Lotus"/>
      <w:b/>
      <w:bCs/>
      <w:i/>
      <w:szCs w:val="24"/>
      <w:lang w:bidi="fa-IR"/>
    </w:rPr>
  </w:style>
  <w:style w:type="paragraph" w:styleId="Heading7">
    <w:name w:val="heading 7"/>
    <w:basedOn w:val="Normal"/>
    <w:next w:val="Normal"/>
    <w:link w:val="Heading7Char"/>
    <w:unhideWhenUsed/>
    <w:qFormat/>
    <w:rsid w:val="007A492E"/>
    <w:pPr>
      <w:keepNext/>
      <w:keepLines/>
      <w:numPr>
        <w:ilvl w:val="6"/>
        <w:numId w:val="2"/>
      </w:numPr>
      <w:bidi/>
      <w:spacing w:before="40" w:after="0" w:line="240" w:lineRule="auto"/>
      <w:jc w:val="center"/>
      <w:outlineLvl w:val="6"/>
    </w:pPr>
    <w:rPr>
      <w:rFonts w:ascii="Times New Roman Bold" w:eastAsia="Times New Roman" w:hAnsi="Times New Roman Bold" w:cs="B Nazanin"/>
      <w:b/>
      <w:bCs/>
      <w:i/>
      <w:szCs w:val="24"/>
      <w:lang w:bidi="fa-IR"/>
    </w:rPr>
  </w:style>
  <w:style w:type="paragraph" w:styleId="Heading8">
    <w:name w:val="heading 8"/>
    <w:basedOn w:val="Normal"/>
    <w:next w:val="Normal"/>
    <w:link w:val="Heading8Char"/>
    <w:uiPriority w:val="9"/>
    <w:unhideWhenUsed/>
    <w:qFormat/>
    <w:rsid w:val="007A492E"/>
    <w:pPr>
      <w:keepNext/>
      <w:keepLines/>
      <w:numPr>
        <w:ilvl w:val="7"/>
        <w:numId w:val="2"/>
      </w:numPr>
      <w:tabs>
        <w:tab w:val="left" w:pos="5760"/>
      </w:tabs>
      <w:bidi/>
      <w:spacing w:before="40" w:after="0" w:line="240" w:lineRule="auto"/>
      <w:jc w:val="both"/>
      <w:outlineLvl w:val="7"/>
    </w:pPr>
    <w:rPr>
      <w:rFonts w:ascii="Calibri Light" w:eastAsia="Times New Roman" w:hAnsi="Calibri Light" w:cs="B Lotus"/>
      <w:i/>
      <w:color w:val="272727"/>
      <w:sz w:val="21"/>
      <w:szCs w:val="28"/>
      <w:lang w:bidi="fa-IR"/>
    </w:rPr>
  </w:style>
  <w:style w:type="paragraph" w:styleId="Heading9">
    <w:name w:val="heading 9"/>
    <w:basedOn w:val="Normal"/>
    <w:next w:val="Normal"/>
    <w:link w:val="Heading9Char"/>
    <w:unhideWhenUsed/>
    <w:qFormat/>
    <w:rsid w:val="007A492E"/>
    <w:pPr>
      <w:keepNext/>
      <w:keepLines/>
      <w:numPr>
        <w:ilvl w:val="8"/>
        <w:numId w:val="2"/>
      </w:numPr>
      <w:bidi/>
      <w:spacing w:before="40" w:after="0" w:line="240" w:lineRule="auto"/>
      <w:jc w:val="both"/>
      <w:outlineLvl w:val="8"/>
    </w:pPr>
    <w:rPr>
      <w:rFonts w:ascii="Calibri Light" w:eastAsia="Times New Roman" w:hAnsi="Calibri Light" w:cs="Times New Roman"/>
      <w:iCs/>
      <w:color w:val="272727"/>
      <w:sz w:val="21"/>
      <w:szCs w:val="2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4AE3"/>
    <w:pPr>
      <w:tabs>
        <w:tab w:val="center" w:pos="4680"/>
        <w:tab w:val="right" w:pos="9360"/>
      </w:tabs>
      <w:spacing w:after="0" w:line="240" w:lineRule="auto"/>
    </w:pPr>
  </w:style>
  <w:style w:type="character" w:customStyle="1" w:styleId="HeaderChar">
    <w:name w:val="Header Char"/>
    <w:basedOn w:val="DefaultParagraphFont"/>
    <w:link w:val="Header"/>
    <w:rsid w:val="00004AE3"/>
  </w:style>
  <w:style w:type="paragraph" w:styleId="Footer">
    <w:name w:val="footer"/>
    <w:basedOn w:val="Normal"/>
    <w:link w:val="FooterChar"/>
    <w:uiPriority w:val="99"/>
    <w:unhideWhenUsed/>
    <w:rsid w:val="0000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AE3"/>
  </w:style>
  <w:style w:type="table" w:styleId="TableGrid">
    <w:name w:val="Table Grid"/>
    <w:basedOn w:val="TableNormal"/>
    <w:rsid w:val="00004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شماره زيرنويس,پاورقی,مرجع پاورقي"/>
    <w:uiPriority w:val="99"/>
    <w:unhideWhenUsed/>
    <w:qFormat/>
    <w:rsid w:val="00DC4C7F"/>
    <w:rPr>
      <w:vertAlign w:val="superscript"/>
    </w:rPr>
  </w:style>
  <w:style w:type="paragraph" w:styleId="FootnoteText">
    <w:name w:val="footnote text"/>
    <w:aliases w:val="Char,Char Char Char Char,Char Char Char Char Char,Footnote Text1 Char Char, Char Char Char Char, Char Char Char Char Char Char Char, Char,Char2, Char2,Footnote Text3"/>
    <w:basedOn w:val="Normal"/>
    <w:link w:val="FootnoteTextChar"/>
    <w:unhideWhenUsed/>
    <w:qFormat/>
    <w:rsid w:val="00DC4C7F"/>
    <w:pPr>
      <w:spacing w:after="0" w:line="240" w:lineRule="auto"/>
      <w:jc w:val="both"/>
    </w:pPr>
    <w:rPr>
      <w:rFonts w:ascii="Calibri" w:eastAsia="Times New Roman" w:hAnsi="Calibri" w:cs="Arial"/>
      <w:i/>
    </w:rPr>
  </w:style>
  <w:style w:type="character" w:customStyle="1" w:styleId="FootnoteTextChar">
    <w:name w:val="Footnote Text Char"/>
    <w:aliases w:val="Char Char,Char Char Char Char Char1,Char Char Char Char Char Char,Footnote Text1 Char Char Char, Char Char Char Char Char, Char Char Char Char Char Char Char Char, Char Char,Char2 Char, Char2 Char,Footnote Text3 Char"/>
    <w:basedOn w:val="DefaultParagraphFont"/>
    <w:link w:val="FootnoteText"/>
    <w:rsid w:val="00DC4C7F"/>
    <w:rPr>
      <w:rFonts w:ascii="Calibri" w:eastAsia="Times New Roman" w:hAnsi="Calibri" w:cs="Arial"/>
      <w:i/>
      <w:sz w:val="20"/>
      <w:szCs w:val="20"/>
    </w:rPr>
  </w:style>
  <w:style w:type="paragraph" w:styleId="EndnoteText">
    <w:name w:val="endnote text"/>
    <w:basedOn w:val="Normal"/>
    <w:link w:val="EndnoteTextChar"/>
    <w:uiPriority w:val="99"/>
    <w:unhideWhenUsed/>
    <w:rsid w:val="00DC4C7F"/>
    <w:pPr>
      <w:spacing w:after="0" w:line="240" w:lineRule="auto"/>
    </w:pPr>
  </w:style>
  <w:style w:type="character" w:customStyle="1" w:styleId="EndnoteTextChar">
    <w:name w:val="Endnote Text Char"/>
    <w:basedOn w:val="DefaultParagraphFont"/>
    <w:link w:val="EndnoteText"/>
    <w:uiPriority w:val="99"/>
    <w:rsid w:val="00DC4C7F"/>
    <w:rPr>
      <w:sz w:val="20"/>
      <w:szCs w:val="20"/>
    </w:rPr>
  </w:style>
  <w:style w:type="character" w:styleId="EndnoteReference">
    <w:name w:val="endnote reference"/>
    <w:basedOn w:val="DefaultParagraphFont"/>
    <w:uiPriority w:val="99"/>
    <w:unhideWhenUsed/>
    <w:rsid w:val="00DC4C7F"/>
    <w:rPr>
      <w:vertAlign w:val="superscript"/>
    </w:rPr>
  </w:style>
  <w:style w:type="character" w:styleId="Hyperlink">
    <w:name w:val="Hyperlink"/>
    <w:basedOn w:val="DefaultParagraphFont"/>
    <w:uiPriority w:val="99"/>
    <w:unhideWhenUsed/>
    <w:rsid w:val="00DC4C7F"/>
    <w:rPr>
      <w:color w:val="0563C1" w:themeColor="hyperlink"/>
      <w:u w:val="single"/>
    </w:rPr>
  </w:style>
  <w:style w:type="character" w:customStyle="1" w:styleId="UnresolvedMention1">
    <w:name w:val="Unresolved Mention1"/>
    <w:basedOn w:val="DefaultParagraphFont"/>
    <w:uiPriority w:val="99"/>
    <w:semiHidden/>
    <w:unhideWhenUsed/>
    <w:rsid w:val="00DC4C7F"/>
    <w:rPr>
      <w:color w:val="605E5C"/>
      <w:shd w:val="clear" w:color="auto" w:fill="E1DFDD"/>
    </w:rPr>
  </w:style>
  <w:style w:type="table" w:styleId="PlainTable2">
    <w:name w:val="Plain Table 2"/>
    <w:basedOn w:val="TableNormal"/>
    <w:uiPriority w:val="42"/>
    <w:rsid w:val="00C266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link w:val="NoSpacingChar"/>
    <w:uiPriority w:val="1"/>
    <w:qFormat/>
    <w:rsid w:val="00C2664B"/>
    <w:pPr>
      <w:spacing w:after="0" w:line="240" w:lineRule="auto"/>
      <w:jc w:val="both"/>
    </w:pPr>
    <w:rPr>
      <w:rFonts w:ascii="Times New Roman" w:eastAsia="Times New Roman" w:hAnsi="Times New Roman" w:cs="B Nazanin"/>
      <w:bCs/>
      <w:sz w:val="20"/>
      <w:szCs w:val="20"/>
      <w:lang w:bidi="fa-IR"/>
    </w:rPr>
  </w:style>
  <w:style w:type="character" w:customStyle="1" w:styleId="NoSpacingChar">
    <w:name w:val="No Spacing Char"/>
    <w:link w:val="NoSpacing"/>
    <w:uiPriority w:val="1"/>
    <w:rsid w:val="00C2664B"/>
    <w:rPr>
      <w:rFonts w:ascii="Times New Roman" w:eastAsia="Times New Roman" w:hAnsi="Times New Roman" w:cs="B Nazanin"/>
      <w:bCs/>
      <w:sz w:val="20"/>
      <w:szCs w:val="20"/>
      <w:lang w:bidi="fa-IR"/>
    </w:rPr>
  </w:style>
  <w:style w:type="character" w:customStyle="1" w:styleId="Heading1Char">
    <w:name w:val="Heading 1 Char"/>
    <w:basedOn w:val="DefaultParagraphFont"/>
    <w:link w:val="Heading1"/>
    <w:uiPriority w:val="9"/>
    <w:rsid w:val="00EE1497"/>
    <w:rPr>
      <w:rFonts w:ascii="Times New Roman Bold" w:eastAsia="Times New Roman" w:hAnsi="Times New Roman Bold" w:cs="Gandom"/>
      <w:b/>
      <w:bCs/>
      <w:sz w:val="24"/>
      <w:lang w:bidi="fa-IR"/>
    </w:rPr>
  </w:style>
  <w:style w:type="character" w:customStyle="1" w:styleId="Heading2Char">
    <w:name w:val="Heading 2 Char"/>
    <w:basedOn w:val="DefaultParagraphFont"/>
    <w:link w:val="Heading2"/>
    <w:uiPriority w:val="9"/>
    <w:rsid w:val="006C1169"/>
    <w:rPr>
      <w:rFonts w:ascii="Times New Roman" w:eastAsia="Times New Roman" w:hAnsi="Times New Roman" w:cs="B Nazanin"/>
      <w:b/>
      <w:bCs/>
      <w:i/>
      <w:sz w:val="20"/>
      <w:szCs w:val="26"/>
      <w:lang w:bidi="fa-IR"/>
    </w:rPr>
  </w:style>
  <w:style w:type="character" w:customStyle="1" w:styleId="Heading3Char">
    <w:name w:val="Heading 3 Char"/>
    <w:basedOn w:val="DefaultParagraphFont"/>
    <w:link w:val="Heading3"/>
    <w:uiPriority w:val="9"/>
    <w:rsid w:val="007A492E"/>
    <w:rPr>
      <w:rFonts w:ascii="B Lotus" w:eastAsia="Times New Roman" w:hAnsi="B Lotus" w:cs="B Nazanin"/>
      <w:b/>
      <w:bCs/>
      <w:szCs w:val="26"/>
      <w:lang w:bidi="fa-IR"/>
    </w:rPr>
  </w:style>
  <w:style w:type="character" w:customStyle="1" w:styleId="Heading4Char">
    <w:name w:val="Heading 4 Char"/>
    <w:basedOn w:val="DefaultParagraphFont"/>
    <w:link w:val="Heading4"/>
    <w:uiPriority w:val="9"/>
    <w:rsid w:val="007A492E"/>
    <w:rPr>
      <w:rFonts w:ascii="Times New Roman" w:eastAsia="Times New Roman" w:hAnsi="Times New Roman" w:cs="B Lotus"/>
      <w:b/>
      <w:bCs/>
      <w:iCs/>
      <w:szCs w:val="26"/>
      <w:lang w:bidi="fa-IR"/>
    </w:rPr>
  </w:style>
  <w:style w:type="character" w:customStyle="1" w:styleId="Heading5Char">
    <w:name w:val="Heading 5 Char"/>
    <w:basedOn w:val="DefaultParagraphFont"/>
    <w:link w:val="Heading5"/>
    <w:uiPriority w:val="9"/>
    <w:rsid w:val="007A492E"/>
    <w:rPr>
      <w:rFonts w:ascii="Times New Roman Bold" w:eastAsia="Times New Roman" w:hAnsi="Times New Roman Bold" w:cs="B Nazanin"/>
      <w:b/>
      <w:bCs/>
      <w:i/>
      <w:szCs w:val="24"/>
      <w:lang w:bidi="fa-IR"/>
    </w:rPr>
  </w:style>
  <w:style w:type="character" w:customStyle="1" w:styleId="Heading6Char">
    <w:name w:val="Heading 6 Char"/>
    <w:basedOn w:val="DefaultParagraphFont"/>
    <w:link w:val="Heading6"/>
    <w:uiPriority w:val="9"/>
    <w:rsid w:val="007A492E"/>
    <w:rPr>
      <w:rFonts w:ascii="Times New Roman" w:eastAsia="Times New Roman" w:hAnsi="Times New Roman" w:cs="B Lotus"/>
      <w:b/>
      <w:bCs/>
      <w:i/>
      <w:sz w:val="20"/>
      <w:szCs w:val="24"/>
      <w:lang w:bidi="fa-IR"/>
    </w:rPr>
  </w:style>
  <w:style w:type="character" w:customStyle="1" w:styleId="Heading7Char">
    <w:name w:val="Heading 7 Char"/>
    <w:basedOn w:val="DefaultParagraphFont"/>
    <w:link w:val="Heading7"/>
    <w:rsid w:val="007A492E"/>
    <w:rPr>
      <w:rFonts w:ascii="Times New Roman Bold" w:eastAsia="Times New Roman" w:hAnsi="Times New Roman Bold" w:cs="B Nazanin"/>
      <w:b/>
      <w:bCs/>
      <w:i/>
      <w:szCs w:val="24"/>
      <w:lang w:bidi="fa-IR"/>
    </w:rPr>
  </w:style>
  <w:style w:type="character" w:customStyle="1" w:styleId="Heading8Char">
    <w:name w:val="Heading 8 Char"/>
    <w:basedOn w:val="DefaultParagraphFont"/>
    <w:link w:val="Heading8"/>
    <w:uiPriority w:val="9"/>
    <w:rsid w:val="007A492E"/>
    <w:rPr>
      <w:rFonts w:ascii="Calibri Light" w:eastAsia="Times New Roman" w:hAnsi="Calibri Light" w:cs="B Lotus"/>
      <w:i/>
      <w:color w:val="272727"/>
      <w:sz w:val="21"/>
      <w:szCs w:val="28"/>
      <w:lang w:bidi="fa-IR"/>
    </w:rPr>
  </w:style>
  <w:style w:type="character" w:customStyle="1" w:styleId="Heading9Char">
    <w:name w:val="Heading 9 Char"/>
    <w:basedOn w:val="DefaultParagraphFont"/>
    <w:link w:val="Heading9"/>
    <w:rsid w:val="007A492E"/>
    <w:rPr>
      <w:rFonts w:ascii="Calibri Light" w:eastAsia="Times New Roman" w:hAnsi="Calibri Light" w:cs="Times New Roman"/>
      <w:iCs/>
      <w:color w:val="272727"/>
      <w:sz w:val="21"/>
      <w:szCs w:val="21"/>
      <w:lang w:bidi="fa-IR"/>
    </w:rPr>
  </w:style>
  <w:style w:type="paragraph" w:customStyle="1" w:styleId="EndNoteBibliographyTitle">
    <w:name w:val="EndNote Bibliography Title"/>
    <w:basedOn w:val="Normal"/>
    <w:link w:val="EndNoteBibliographyTitleChar"/>
    <w:rsid w:val="007A492E"/>
    <w:pPr>
      <w:bidi/>
      <w:spacing w:after="0" w:line="240" w:lineRule="auto"/>
      <w:ind w:firstLine="288"/>
      <w:jc w:val="center"/>
    </w:pPr>
    <w:rPr>
      <w:rFonts w:ascii="Times New Roman" w:eastAsia="Calibri" w:hAnsi="Times New Roman" w:cs="Times New Roman"/>
      <w:noProof/>
      <w:sz w:val="22"/>
      <w:szCs w:val="26"/>
      <w:lang w:bidi="fa-IR"/>
    </w:rPr>
  </w:style>
  <w:style w:type="character" w:customStyle="1" w:styleId="EndNoteBibliographyTitleChar">
    <w:name w:val="EndNote Bibliography Title Char"/>
    <w:basedOn w:val="DefaultParagraphFont"/>
    <w:link w:val="EndNoteBibliographyTitle"/>
    <w:rsid w:val="007A492E"/>
    <w:rPr>
      <w:rFonts w:ascii="Times New Roman" w:eastAsia="Calibri" w:hAnsi="Times New Roman" w:cs="Times New Roman"/>
      <w:noProof/>
      <w:szCs w:val="26"/>
      <w:lang w:bidi="fa-IR"/>
    </w:rPr>
  </w:style>
  <w:style w:type="paragraph" w:customStyle="1" w:styleId="EndNoteBibliography">
    <w:name w:val="EndNote Bibliography"/>
    <w:basedOn w:val="Normal"/>
    <w:link w:val="EndNoteBibliographyChar"/>
    <w:rsid w:val="007A492E"/>
    <w:pPr>
      <w:bidi/>
      <w:spacing w:line="240" w:lineRule="auto"/>
      <w:ind w:firstLine="288"/>
      <w:jc w:val="both"/>
    </w:pPr>
    <w:rPr>
      <w:rFonts w:ascii="Times New Roman" w:eastAsia="Calibri" w:hAnsi="Times New Roman" w:cs="Times New Roman"/>
      <w:noProof/>
      <w:sz w:val="22"/>
      <w:szCs w:val="26"/>
      <w:lang w:bidi="fa-IR"/>
    </w:rPr>
  </w:style>
  <w:style w:type="character" w:customStyle="1" w:styleId="EndNoteBibliographyChar">
    <w:name w:val="EndNote Bibliography Char"/>
    <w:basedOn w:val="DefaultParagraphFont"/>
    <w:link w:val="EndNoteBibliography"/>
    <w:rsid w:val="007A492E"/>
    <w:rPr>
      <w:rFonts w:ascii="Times New Roman" w:eastAsia="Calibri" w:hAnsi="Times New Roman" w:cs="Times New Roman"/>
      <w:noProof/>
      <w:szCs w:val="26"/>
      <w:lang w:bidi="fa-IR"/>
    </w:rPr>
  </w:style>
  <w:style w:type="paragraph" w:customStyle="1" w:styleId="FooterEven">
    <w:name w:val="Footer Even"/>
    <w:basedOn w:val="Normal"/>
    <w:unhideWhenUsed/>
    <w:qFormat/>
    <w:rsid w:val="007A492E"/>
    <w:pPr>
      <w:pBdr>
        <w:top w:val="single" w:sz="4" w:space="1" w:color="94B6D2"/>
      </w:pBdr>
      <w:spacing w:after="180" w:line="264" w:lineRule="auto"/>
      <w:jc w:val="both"/>
    </w:pPr>
    <w:rPr>
      <w:rFonts w:ascii="Tw Cen MT" w:eastAsia="Tw Cen MT" w:hAnsi="Tw Cen MT" w:cs="Times New Roman"/>
      <w:color w:val="775F55"/>
      <w:lang w:eastAsia="ja-JP"/>
    </w:rPr>
  </w:style>
  <w:style w:type="paragraph" w:customStyle="1" w:styleId="FooterOdd">
    <w:name w:val="Footer Odd"/>
    <w:basedOn w:val="Normal"/>
    <w:unhideWhenUsed/>
    <w:qFormat/>
    <w:rsid w:val="007A492E"/>
    <w:pPr>
      <w:pBdr>
        <w:top w:val="single" w:sz="4" w:space="1" w:color="94B6D2"/>
      </w:pBdr>
      <w:spacing w:after="180" w:line="264" w:lineRule="auto"/>
      <w:jc w:val="right"/>
    </w:pPr>
    <w:rPr>
      <w:rFonts w:ascii="Tw Cen MT" w:eastAsia="Tw Cen MT" w:hAnsi="Tw Cen MT" w:cs="Times New Roman"/>
      <w:color w:val="775F55"/>
      <w:lang w:eastAsia="ja-JP"/>
    </w:rPr>
  </w:style>
  <w:style w:type="paragraph" w:customStyle="1" w:styleId="HeaderEven">
    <w:name w:val="Header Even"/>
    <w:basedOn w:val="NoSpacing"/>
    <w:unhideWhenUsed/>
    <w:qFormat/>
    <w:rsid w:val="007A492E"/>
    <w:pPr>
      <w:pBdr>
        <w:bottom w:val="single" w:sz="4" w:space="1" w:color="94B6D2"/>
      </w:pBdr>
    </w:pPr>
    <w:rPr>
      <w:rFonts w:ascii="Tw Cen MT" w:eastAsia="Tw Cen MT" w:hAnsi="Tw Cen MT" w:cs="Times New Roman"/>
      <w:b/>
      <w:color w:val="775F55"/>
      <w:lang w:eastAsia="ja-JP"/>
    </w:rPr>
  </w:style>
  <w:style w:type="paragraph" w:customStyle="1" w:styleId="HeaderOdd">
    <w:name w:val="Header Odd"/>
    <w:basedOn w:val="NoSpacing"/>
    <w:unhideWhenUsed/>
    <w:qFormat/>
    <w:rsid w:val="007A492E"/>
    <w:pPr>
      <w:pBdr>
        <w:bottom w:val="single" w:sz="4" w:space="1" w:color="94B6D2"/>
      </w:pBdr>
      <w:jc w:val="right"/>
    </w:pPr>
    <w:rPr>
      <w:rFonts w:ascii="Tw Cen MT" w:eastAsia="Tw Cen MT" w:hAnsi="Tw Cen MT" w:cs="Times New Roman"/>
      <w:b/>
      <w:color w:val="775F55"/>
      <w:lang w:eastAsia="ja-JP"/>
    </w:rPr>
  </w:style>
  <w:style w:type="paragraph" w:styleId="BalloonText">
    <w:name w:val="Balloon Text"/>
    <w:basedOn w:val="Normal"/>
    <w:link w:val="BalloonTextChar"/>
    <w:uiPriority w:val="99"/>
    <w:unhideWhenUsed/>
    <w:rsid w:val="007A492E"/>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7A492E"/>
    <w:rPr>
      <w:rFonts w:ascii="Tahoma" w:eastAsia="Times New Roman" w:hAnsi="Tahoma" w:cs="Tahoma"/>
      <w:sz w:val="16"/>
      <w:szCs w:val="16"/>
    </w:rPr>
  </w:style>
  <w:style w:type="paragraph" w:styleId="TOCHeading">
    <w:name w:val="TOC Heading"/>
    <w:basedOn w:val="Heading1"/>
    <w:next w:val="Normal"/>
    <w:uiPriority w:val="39"/>
    <w:qFormat/>
    <w:rsid w:val="007A492E"/>
    <w:pPr>
      <w:spacing w:before="480" w:line="276" w:lineRule="auto"/>
      <w:ind w:hanging="144"/>
      <w:outlineLvl w:val="9"/>
    </w:pPr>
    <w:rPr>
      <w:i/>
      <w:sz w:val="32"/>
      <w:lang w:bidi="ar-SA"/>
    </w:rPr>
  </w:style>
  <w:style w:type="paragraph" w:styleId="TOC2">
    <w:name w:val="toc 2"/>
    <w:basedOn w:val="Normal"/>
    <w:next w:val="Normal"/>
    <w:autoRedefine/>
    <w:uiPriority w:val="39"/>
    <w:unhideWhenUsed/>
    <w:qFormat/>
    <w:rsid w:val="007A492E"/>
    <w:pPr>
      <w:spacing w:after="100" w:line="276" w:lineRule="auto"/>
      <w:ind w:left="220"/>
      <w:jc w:val="both"/>
    </w:pPr>
    <w:rPr>
      <w:rFonts w:ascii="Calibri" w:eastAsia="Times New Roman" w:hAnsi="Calibri" w:cs="Arial"/>
    </w:rPr>
  </w:style>
  <w:style w:type="paragraph" w:styleId="TOC1">
    <w:name w:val="toc 1"/>
    <w:basedOn w:val="Normal"/>
    <w:next w:val="Normal"/>
    <w:autoRedefine/>
    <w:uiPriority w:val="39"/>
    <w:unhideWhenUsed/>
    <w:qFormat/>
    <w:rsid w:val="007A492E"/>
    <w:pPr>
      <w:tabs>
        <w:tab w:val="right" w:leader="dot" w:pos="9747"/>
      </w:tabs>
      <w:bidi/>
      <w:spacing w:after="100" w:line="240" w:lineRule="auto"/>
      <w:jc w:val="lowKashida"/>
    </w:pPr>
    <w:rPr>
      <w:rFonts w:ascii="Calibri" w:eastAsia="Times New Roman" w:hAnsi="Calibri" w:cs="B Traffic"/>
      <w:bCs/>
      <w:szCs w:val="24"/>
    </w:rPr>
  </w:style>
  <w:style w:type="paragraph" w:styleId="TOC3">
    <w:name w:val="toc 3"/>
    <w:basedOn w:val="Normal"/>
    <w:next w:val="Normal"/>
    <w:autoRedefine/>
    <w:uiPriority w:val="39"/>
    <w:unhideWhenUsed/>
    <w:qFormat/>
    <w:rsid w:val="007A492E"/>
    <w:pPr>
      <w:spacing w:after="100" w:line="276" w:lineRule="auto"/>
      <w:ind w:left="440"/>
      <w:jc w:val="both"/>
    </w:pPr>
    <w:rPr>
      <w:rFonts w:ascii="Calibri" w:eastAsia="Times New Roman" w:hAnsi="Calibri" w:cs="Arial"/>
    </w:rPr>
  </w:style>
  <w:style w:type="character" w:styleId="Strong">
    <w:name w:val="Strong"/>
    <w:uiPriority w:val="22"/>
    <w:qFormat/>
    <w:rsid w:val="007A492E"/>
    <w:rPr>
      <w:b/>
      <w:bCs/>
    </w:rPr>
  </w:style>
  <w:style w:type="paragraph" w:styleId="Subtitle">
    <w:name w:val="Subtitle"/>
    <w:basedOn w:val="Normal"/>
    <w:link w:val="SubtitleChar"/>
    <w:qFormat/>
    <w:rsid w:val="007A492E"/>
    <w:pPr>
      <w:bidi/>
      <w:spacing w:after="0" w:line="240" w:lineRule="auto"/>
      <w:jc w:val="center"/>
    </w:pPr>
    <w:rPr>
      <w:rFonts w:ascii="Times New Roman" w:eastAsia="Times New Roman" w:hAnsi="Times New Roman" w:cs="B Nazanin"/>
    </w:rPr>
  </w:style>
  <w:style w:type="character" w:customStyle="1" w:styleId="SubtitleChar">
    <w:name w:val="Subtitle Char"/>
    <w:basedOn w:val="DefaultParagraphFont"/>
    <w:link w:val="Subtitle"/>
    <w:rsid w:val="007A492E"/>
    <w:rPr>
      <w:rFonts w:ascii="Times New Roman" w:eastAsia="Times New Roman" w:hAnsi="Times New Roman" w:cs="B Nazanin"/>
      <w:sz w:val="20"/>
      <w:szCs w:val="20"/>
    </w:rPr>
  </w:style>
  <w:style w:type="paragraph" w:customStyle="1" w:styleId="CompanyName">
    <w:name w:val="Company Name"/>
    <w:basedOn w:val="Normal"/>
    <w:qFormat/>
    <w:rsid w:val="007A492E"/>
    <w:pPr>
      <w:spacing w:after="0" w:line="240" w:lineRule="auto"/>
      <w:jc w:val="center"/>
    </w:pPr>
    <w:rPr>
      <w:rFonts w:ascii="Georgia" w:eastAsia="Georgia" w:hAnsi="Georgia" w:cs="Times New Roman"/>
      <w:color w:val="84AA33"/>
    </w:rPr>
  </w:style>
  <w:style w:type="paragraph" w:customStyle="1" w:styleId="DateTime">
    <w:name w:val="Date &amp; Time"/>
    <w:basedOn w:val="Normal"/>
    <w:qFormat/>
    <w:rsid w:val="007A492E"/>
    <w:pPr>
      <w:spacing w:after="0" w:line="240" w:lineRule="auto"/>
      <w:jc w:val="center"/>
    </w:pPr>
    <w:rPr>
      <w:rFonts w:ascii="Georgia" w:eastAsia="Georgia" w:hAnsi="Georgia" w:cs="Times New Roman"/>
      <w:color w:val="84AA33"/>
      <w:sz w:val="44"/>
      <w:szCs w:val="44"/>
    </w:rPr>
  </w:style>
  <w:style w:type="paragraph" w:customStyle="1" w:styleId="Italic">
    <w:name w:val="Italic"/>
    <w:basedOn w:val="Normal"/>
    <w:link w:val="ItalicChar"/>
    <w:qFormat/>
    <w:rsid w:val="007A492E"/>
    <w:pPr>
      <w:spacing w:after="0" w:line="240" w:lineRule="auto"/>
      <w:jc w:val="center"/>
    </w:pPr>
    <w:rPr>
      <w:rFonts w:ascii="Georgia" w:eastAsia="Georgia" w:hAnsi="Georgia" w:cs="Times New Roman"/>
      <w:i/>
      <w:color w:val="84AA33"/>
    </w:rPr>
  </w:style>
  <w:style w:type="paragraph" w:styleId="ListParagraph">
    <w:name w:val="List Paragraph"/>
    <w:aliases w:val="Numbered Items,فهرست منابع"/>
    <w:basedOn w:val="Normal"/>
    <w:link w:val="ListParagraphChar"/>
    <w:uiPriority w:val="34"/>
    <w:qFormat/>
    <w:rsid w:val="00FB63F0"/>
    <w:pPr>
      <w:spacing w:before="240" w:after="0" w:line="240" w:lineRule="auto"/>
      <w:contextualSpacing/>
      <w:jc w:val="both"/>
    </w:pPr>
    <w:rPr>
      <w:rFonts w:eastAsia="Calibri"/>
    </w:rPr>
  </w:style>
  <w:style w:type="paragraph" w:styleId="Caption">
    <w:name w:val="caption"/>
    <w:basedOn w:val="Normal"/>
    <w:next w:val="Normal"/>
    <w:autoRedefine/>
    <w:uiPriority w:val="35"/>
    <w:qFormat/>
    <w:rsid w:val="006303FF"/>
    <w:pPr>
      <w:spacing w:after="0" w:line="240" w:lineRule="auto"/>
    </w:pPr>
    <w:rPr>
      <w:rFonts w:ascii="Times New Roman" w:eastAsia="Calibri" w:hAnsi="Times New Roman"/>
      <w:iCs/>
      <w:snapToGrid w:val="0"/>
      <w:sz w:val="18"/>
      <w:szCs w:val="22"/>
      <w:lang w:val="en"/>
    </w:rPr>
  </w:style>
  <w:style w:type="character" w:styleId="BookTitle">
    <w:name w:val="Book Title"/>
    <w:qFormat/>
    <w:rsid w:val="007A492E"/>
    <w:rPr>
      <w:rFonts w:cs="A  Mitra_1 (MRT)"/>
      <w:smallCaps/>
      <w:spacing w:val="5"/>
      <w:sz w:val="26"/>
      <w:szCs w:val="56"/>
    </w:rPr>
  </w:style>
  <w:style w:type="character" w:styleId="PlaceholderText">
    <w:name w:val="Placeholder Text"/>
    <w:uiPriority w:val="99"/>
    <w:semiHidden/>
    <w:rsid w:val="007A492E"/>
    <w:rPr>
      <w:color w:val="808080"/>
    </w:rPr>
  </w:style>
  <w:style w:type="paragraph" w:styleId="NormalWeb">
    <w:name w:val="Normal (Web)"/>
    <w:basedOn w:val="Normal"/>
    <w:uiPriority w:val="99"/>
    <w:rsid w:val="007A492E"/>
    <w:pPr>
      <w:spacing w:before="100" w:beforeAutospacing="1" w:after="100" w:afterAutospacing="1" w:line="240" w:lineRule="auto"/>
      <w:ind w:firstLine="284"/>
      <w:jc w:val="both"/>
    </w:pPr>
    <w:rPr>
      <w:rFonts w:ascii="Times New Roman" w:eastAsia="Times New Roman" w:hAnsi="Times New Roman" w:cs="Times New Roman"/>
      <w:i/>
      <w:szCs w:val="24"/>
    </w:rPr>
  </w:style>
  <w:style w:type="numbering" w:styleId="111111">
    <w:name w:val="Outline List 2"/>
    <w:basedOn w:val="NoList"/>
    <w:uiPriority w:val="99"/>
    <w:semiHidden/>
    <w:unhideWhenUsed/>
    <w:rsid w:val="007A492E"/>
    <w:pPr>
      <w:numPr>
        <w:numId w:val="3"/>
      </w:numPr>
    </w:pPr>
  </w:style>
  <w:style w:type="paragraph" w:customStyle="1" w:styleId="Style">
    <w:name w:val="Style"/>
    <w:rsid w:val="007A492E"/>
    <w:pPr>
      <w:widowControl w:val="0"/>
      <w:autoSpaceDE w:val="0"/>
      <w:autoSpaceDN w:val="0"/>
      <w:adjustRightInd w:val="0"/>
      <w:spacing w:after="200" w:line="360" w:lineRule="auto"/>
      <w:ind w:firstLine="284"/>
      <w:jc w:val="both"/>
    </w:pPr>
    <w:rPr>
      <w:rFonts w:ascii="Arial" w:eastAsia="Times New Roman" w:hAnsi="Arial" w:cs="Arial"/>
      <w:sz w:val="24"/>
      <w:szCs w:val="24"/>
    </w:rPr>
  </w:style>
  <w:style w:type="character" w:styleId="Emphasis">
    <w:name w:val="Emphasis"/>
    <w:uiPriority w:val="20"/>
    <w:qFormat/>
    <w:rsid w:val="007A492E"/>
    <w:rPr>
      <w:i/>
      <w:iCs/>
    </w:rPr>
  </w:style>
  <w:style w:type="paragraph" w:styleId="z-TopofForm">
    <w:name w:val="HTML Top of Form"/>
    <w:basedOn w:val="Normal"/>
    <w:next w:val="Normal"/>
    <w:link w:val="z-TopofFormChar"/>
    <w:hidden/>
    <w:uiPriority w:val="99"/>
    <w:semiHidden/>
    <w:unhideWhenUsed/>
    <w:rsid w:val="007A492E"/>
    <w:pPr>
      <w:pBdr>
        <w:bottom w:val="single" w:sz="6" w:space="1" w:color="auto"/>
      </w:pBdr>
      <w:spacing w:after="0" w:line="240" w:lineRule="auto"/>
      <w:jc w:val="center"/>
    </w:pPr>
    <w:rPr>
      <w:rFonts w:ascii="Arial" w:eastAsia="Times New Roman" w:hAnsi="Arial" w:cs="Arial"/>
      <w:vanish/>
      <w:sz w:val="16"/>
      <w:szCs w:val="16"/>
      <w:lang w:bidi="fa-IR"/>
    </w:rPr>
  </w:style>
  <w:style w:type="character" w:customStyle="1" w:styleId="z-TopofFormChar">
    <w:name w:val="z-Top of Form Char"/>
    <w:basedOn w:val="DefaultParagraphFont"/>
    <w:link w:val="z-TopofForm"/>
    <w:uiPriority w:val="99"/>
    <w:semiHidden/>
    <w:rsid w:val="007A492E"/>
    <w:rPr>
      <w:rFonts w:ascii="Arial" w:eastAsia="Times New Roman" w:hAnsi="Arial" w:cs="Arial"/>
      <w:vanish/>
      <w:sz w:val="16"/>
      <w:szCs w:val="16"/>
      <w:lang w:bidi="fa-IR"/>
    </w:rPr>
  </w:style>
  <w:style w:type="paragraph" w:styleId="z-BottomofForm">
    <w:name w:val="HTML Bottom of Form"/>
    <w:basedOn w:val="Normal"/>
    <w:next w:val="Normal"/>
    <w:link w:val="z-BottomofFormChar"/>
    <w:hidden/>
    <w:uiPriority w:val="99"/>
    <w:unhideWhenUsed/>
    <w:rsid w:val="007A492E"/>
    <w:pPr>
      <w:pBdr>
        <w:top w:val="single" w:sz="6" w:space="1" w:color="auto"/>
      </w:pBdr>
      <w:spacing w:after="0" w:line="240" w:lineRule="auto"/>
      <w:jc w:val="center"/>
    </w:pPr>
    <w:rPr>
      <w:rFonts w:ascii="Arial" w:eastAsia="Times New Roman" w:hAnsi="Arial" w:cs="Arial"/>
      <w:vanish/>
      <w:sz w:val="16"/>
      <w:szCs w:val="16"/>
      <w:lang w:bidi="fa-IR"/>
    </w:rPr>
  </w:style>
  <w:style w:type="character" w:customStyle="1" w:styleId="z-BottomofFormChar">
    <w:name w:val="z-Bottom of Form Char"/>
    <w:basedOn w:val="DefaultParagraphFont"/>
    <w:link w:val="z-BottomofForm"/>
    <w:uiPriority w:val="99"/>
    <w:rsid w:val="007A492E"/>
    <w:rPr>
      <w:rFonts w:ascii="Arial" w:eastAsia="Times New Roman" w:hAnsi="Arial" w:cs="Arial"/>
      <w:vanish/>
      <w:sz w:val="16"/>
      <w:szCs w:val="16"/>
      <w:lang w:bidi="fa-IR"/>
    </w:rPr>
  </w:style>
  <w:style w:type="character" w:customStyle="1" w:styleId="navi2">
    <w:name w:val="navi2"/>
    <w:rsid w:val="007A492E"/>
  </w:style>
  <w:style w:type="character" w:customStyle="1" w:styleId="MTEquationSection">
    <w:name w:val="MTEquationSection"/>
    <w:rsid w:val="007A492E"/>
    <w:rPr>
      <w:rFonts w:ascii="Times New Roman" w:hAnsi="Times New Roman" w:cs="B Lotus"/>
      <w:i/>
      <w:vanish/>
      <w:color w:val="FF0000"/>
      <w:sz w:val="24"/>
      <w:szCs w:val="28"/>
    </w:rPr>
  </w:style>
  <w:style w:type="paragraph" w:customStyle="1" w:styleId="MTDisplayEquation">
    <w:name w:val="MTDisplayEquation"/>
    <w:basedOn w:val="Normal"/>
    <w:next w:val="Normal"/>
    <w:link w:val="MTDisplayEquationChar"/>
    <w:rsid w:val="007A492E"/>
    <w:pPr>
      <w:tabs>
        <w:tab w:val="center" w:pos="4540"/>
        <w:tab w:val="right" w:pos="9080"/>
      </w:tabs>
      <w:bidi/>
      <w:spacing w:after="200" w:line="240" w:lineRule="auto"/>
      <w:jc w:val="both"/>
    </w:pPr>
    <w:rPr>
      <w:rFonts w:ascii="Times New Roman" w:eastAsia="Times New Roman" w:hAnsi="Times New Roman" w:cs="B Nazanin"/>
      <w:i/>
      <w:szCs w:val="26"/>
    </w:rPr>
  </w:style>
  <w:style w:type="character" w:customStyle="1" w:styleId="MTDisplayEquationChar">
    <w:name w:val="MTDisplayEquation Char"/>
    <w:link w:val="MTDisplayEquation"/>
    <w:rsid w:val="007A492E"/>
    <w:rPr>
      <w:rFonts w:ascii="Times New Roman" w:eastAsia="Times New Roman" w:hAnsi="Times New Roman" w:cs="B Nazanin"/>
      <w:i/>
      <w:szCs w:val="26"/>
    </w:rPr>
  </w:style>
  <w:style w:type="paragraph" w:customStyle="1" w:styleId="46BB8CDA7AD04FB8A925DA5B3F1E796A">
    <w:name w:val="46BB8CDA7AD04FB8A925DA5B3F1E796A"/>
    <w:rsid w:val="007A492E"/>
    <w:pPr>
      <w:spacing w:after="200" w:line="276" w:lineRule="auto"/>
    </w:pPr>
    <w:rPr>
      <w:rFonts w:ascii="Calibri" w:eastAsia="Times New Roman" w:hAnsi="Calibri" w:cs="Arial"/>
    </w:rPr>
  </w:style>
  <w:style w:type="table" w:customStyle="1" w:styleId="MediumList1-Accent11">
    <w:name w:val="Medium List 1 - Accen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1">
    <w:name w:val="Light Shading - Accent 11"/>
    <w:basedOn w:val="TableNormal"/>
    <w:uiPriority w:val="60"/>
    <w:rsid w:val="007A492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7A49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7A3AA4F82F84F2E8D122C3B6DBBE8C9">
    <w:name w:val="B7A3AA4F82F84F2E8D122C3B6DBBE8C9"/>
    <w:rsid w:val="007A492E"/>
    <w:pPr>
      <w:spacing w:after="200" w:line="276" w:lineRule="auto"/>
    </w:pPr>
    <w:rPr>
      <w:rFonts w:ascii="Calibri" w:eastAsia="Times New Roman" w:hAnsi="Calibri" w:cs="Arial"/>
    </w:rPr>
  </w:style>
  <w:style w:type="character" w:styleId="PageNumber">
    <w:name w:val="page number"/>
    <w:rsid w:val="007A492E"/>
  </w:style>
  <w:style w:type="paragraph" w:styleId="BodyText2">
    <w:name w:val="Body Text 2"/>
    <w:basedOn w:val="Normal"/>
    <w:link w:val="BodyText2Char"/>
    <w:rsid w:val="007A492E"/>
    <w:pPr>
      <w:bidi/>
      <w:spacing w:after="0" w:line="240" w:lineRule="auto"/>
      <w:jc w:val="lowKashida"/>
    </w:pPr>
    <w:rPr>
      <w:rFonts w:ascii="Times New Roman" w:eastAsia="Times New Roman" w:hAnsi="Times New Roman" w:cs="Times New Roman"/>
      <w:b/>
      <w:bCs/>
      <w:szCs w:val="26"/>
      <w:lang w:val="x-none" w:eastAsia="x-none" w:bidi="fa-IR"/>
    </w:rPr>
  </w:style>
  <w:style w:type="character" w:customStyle="1" w:styleId="BodyText2Char">
    <w:name w:val="Body Text 2 Char"/>
    <w:basedOn w:val="DefaultParagraphFont"/>
    <w:link w:val="BodyText2"/>
    <w:rsid w:val="007A492E"/>
    <w:rPr>
      <w:rFonts w:ascii="Times New Roman" w:eastAsia="Times New Roman" w:hAnsi="Times New Roman" w:cs="Times New Roman"/>
      <w:b/>
      <w:bCs/>
      <w:sz w:val="20"/>
      <w:szCs w:val="26"/>
      <w:lang w:val="x-none" w:eastAsia="x-none" w:bidi="fa-IR"/>
    </w:rPr>
  </w:style>
  <w:style w:type="character" w:customStyle="1" w:styleId="a">
    <w:name w:val="a"/>
    <w:rsid w:val="007A492E"/>
  </w:style>
  <w:style w:type="paragraph" w:customStyle="1" w:styleId="storytext">
    <w:name w:val="storytext"/>
    <w:basedOn w:val="Normal"/>
    <w:rsid w:val="007A492E"/>
    <w:pPr>
      <w:spacing w:before="100" w:beforeAutospacing="1" w:after="100" w:afterAutospacing="1" w:line="240" w:lineRule="auto"/>
      <w:jc w:val="both"/>
    </w:pPr>
    <w:rPr>
      <w:rFonts w:ascii="Times New Roman" w:eastAsia="Times New Roman" w:hAnsi="Times New Roman" w:cs="Times New Roman"/>
      <w:szCs w:val="24"/>
    </w:rPr>
  </w:style>
  <w:style w:type="paragraph" w:customStyle="1" w:styleId="headingT2">
    <w:name w:val="heading T2"/>
    <w:aliases w:val="chapter b"/>
    <w:basedOn w:val="Normal"/>
    <w:link w:val="headingT2Char"/>
    <w:qFormat/>
    <w:rsid w:val="007A492E"/>
    <w:pPr>
      <w:keepNext/>
      <w:bidi/>
      <w:spacing w:after="960" w:line="288" w:lineRule="auto"/>
      <w:jc w:val="center"/>
      <w:outlineLvl w:val="0"/>
    </w:pPr>
    <w:rPr>
      <w:rFonts w:ascii="Times New Roman" w:eastAsia="Times New Roman" w:hAnsi="Times New Roman" w:cs="Times New Roman"/>
      <w:b/>
      <w:bCs/>
      <w:kern w:val="28"/>
      <w:sz w:val="36"/>
      <w:szCs w:val="36"/>
      <w:lang w:val="x-none" w:eastAsia="x-none" w:bidi="fa-IR"/>
    </w:rPr>
  </w:style>
  <w:style w:type="character" w:customStyle="1" w:styleId="headingT2Char">
    <w:name w:val="heading T2 Char"/>
    <w:aliases w:val="chapter b Char"/>
    <w:link w:val="headingT2"/>
    <w:rsid w:val="007A492E"/>
    <w:rPr>
      <w:rFonts w:ascii="Times New Roman" w:eastAsia="Times New Roman" w:hAnsi="Times New Roman" w:cs="Times New Roman"/>
      <w:b/>
      <w:bCs/>
      <w:kern w:val="28"/>
      <w:sz w:val="36"/>
      <w:szCs w:val="36"/>
      <w:lang w:val="x-none" w:eastAsia="x-none" w:bidi="fa-IR"/>
    </w:rPr>
  </w:style>
  <w:style w:type="paragraph" w:styleId="PlainText">
    <w:name w:val="Plain Text"/>
    <w:basedOn w:val="Normal"/>
    <w:link w:val="PlainTextChar"/>
    <w:uiPriority w:val="99"/>
    <w:unhideWhenUsed/>
    <w:rsid w:val="007A492E"/>
    <w:pPr>
      <w:spacing w:after="0" w:line="240" w:lineRule="auto"/>
      <w:jc w:val="both"/>
    </w:pPr>
    <w:rPr>
      <w:rFonts w:ascii="Consolas" w:eastAsia="Calibri" w:hAnsi="Consolas" w:cs="Times New Roman"/>
      <w:sz w:val="21"/>
      <w:szCs w:val="21"/>
      <w:lang w:val="x-none" w:eastAsia="x-none" w:bidi="fa-IR"/>
    </w:rPr>
  </w:style>
  <w:style w:type="character" w:customStyle="1" w:styleId="PlainTextChar">
    <w:name w:val="Plain Text Char"/>
    <w:basedOn w:val="DefaultParagraphFont"/>
    <w:link w:val="PlainText"/>
    <w:uiPriority w:val="99"/>
    <w:rsid w:val="007A492E"/>
    <w:rPr>
      <w:rFonts w:ascii="Consolas" w:eastAsia="Calibri" w:hAnsi="Consolas" w:cs="Times New Roman"/>
      <w:sz w:val="21"/>
      <w:szCs w:val="21"/>
      <w:lang w:val="x-none" w:eastAsia="x-none" w:bidi="fa-IR"/>
    </w:rPr>
  </w:style>
  <w:style w:type="table" w:styleId="MediumList1-Accent5">
    <w:name w:val="Medium List 1 Accent 5"/>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Shading-Accent3">
    <w:name w:val="Light Shading Accent 3"/>
    <w:basedOn w:val="TableNormal"/>
    <w:uiPriority w:val="60"/>
    <w:rsid w:val="007A492E"/>
    <w:pPr>
      <w:spacing w:after="0" w:line="240" w:lineRule="auto"/>
    </w:pPr>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2">
    <w:name w:val="Light Shading - Accent 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2">
    <w:name w:val="Light Shading - Accent 112"/>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3">
    <w:name w:val="Light Shading - Accent 1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4">
    <w:name w:val="Light Shading - Accent 1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5">
    <w:name w:val="Light Shading - Accent 115"/>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6">
    <w:name w:val="Light Shading - Accent 116"/>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7">
    <w:name w:val="Light Shading - Accent 117"/>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
    <w:name w:val="Light Shading - Accent 13"/>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4">
    <w:name w:val="Light Shading Accent 4"/>
    <w:basedOn w:val="TableNormal"/>
    <w:uiPriority w:val="60"/>
    <w:rsid w:val="007A492E"/>
    <w:pPr>
      <w:spacing w:after="0" w:line="240" w:lineRule="auto"/>
    </w:pPr>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
    <w:name w:val="Light Shading - Accent 51"/>
    <w:basedOn w:val="TableNormal"/>
    <w:next w:val="LightShading-Accent5"/>
    <w:uiPriority w:val="60"/>
    <w:rsid w:val="007A492E"/>
    <w:pPr>
      <w:spacing w:after="0" w:line="240" w:lineRule="auto"/>
    </w:pPr>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4">
    <w:name w:val="Light Shading - Accent 14"/>
    <w:basedOn w:val="TableNormal"/>
    <w:uiPriority w:val="60"/>
    <w:rsid w:val="007A492E"/>
    <w:pPr>
      <w:spacing w:after="0" w:line="240" w:lineRule="auto"/>
    </w:pPr>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cimalAligned">
    <w:name w:val="Decimal Aligned"/>
    <w:basedOn w:val="Normal"/>
    <w:uiPriority w:val="40"/>
    <w:qFormat/>
    <w:rsid w:val="007A492E"/>
    <w:pPr>
      <w:tabs>
        <w:tab w:val="decimal" w:pos="360"/>
      </w:tabs>
      <w:spacing w:after="200" w:line="276" w:lineRule="auto"/>
      <w:jc w:val="both"/>
    </w:pPr>
    <w:rPr>
      <w:rFonts w:ascii="Calibri" w:eastAsia="Times New Roman" w:hAnsi="Calibri" w:cs="Arial"/>
    </w:rPr>
  </w:style>
  <w:style w:type="character" w:styleId="SubtleEmphasis">
    <w:name w:val="Subtle Emphasis"/>
    <w:uiPriority w:val="19"/>
    <w:qFormat/>
    <w:rsid w:val="007A492E"/>
    <w:rPr>
      <w:rFonts w:eastAsia="Times New Roman" w:cs="Arial"/>
      <w:bCs w:val="0"/>
      <w:i/>
      <w:iCs/>
      <w:color w:val="9A9A9A"/>
      <w:szCs w:val="22"/>
      <w:lang w:val="en-US"/>
    </w:rPr>
  </w:style>
  <w:style w:type="table" w:styleId="MediumShading2-Accent5">
    <w:name w:val="Medium Shading 2 Accent 5"/>
    <w:basedOn w:val="TableNormal"/>
    <w:uiPriority w:val="64"/>
    <w:rsid w:val="007A492E"/>
    <w:pPr>
      <w:spacing w:after="0" w:line="240" w:lineRule="auto"/>
    </w:pPr>
    <w:rPr>
      <w:rFonts w:ascii="Calibri" w:eastAsia="Times New Roman" w:hAnsi="Calibri" w:cs="Arial"/>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7A492E"/>
    <w:pPr>
      <w:spacing w:after="0" w:line="240" w:lineRule="auto"/>
    </w:pPr>
    <w:rPr>
      <w:rFonts w:ascii="Calibri" w:eastAsia="Calibri" w:hAnsi="Calibri" w:cs="Arial"/>
      <w:color w:val="363636"/>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2">
    <w:name w:val="Light Shading Accent 2"/>
    <w:basedOn w:val="TableNormal"/>
    <w:uiPriority w:val="60"/>
    <w:rsid w:val="007A492E"/>
    <w:pPr>
      <w:spacing w:after="0" w:line="240" w:lineRule="auto"/>
    </w:pPr>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Shading2-Accent6">
    <w:name w:val="Medium Shading 2 Accent 6"/>
    <w:basedOn w:val="TableNormal"/>
    <w:uiPriority w:val="64"/>
    <w:rsid w:val="007A492E"/>
    <w:pPr>
      <w:spacing w:after="0" w:line="240" w:lineRule="auto"/>
    </w:pPr>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TableofFigures">
    <w:name w:val="table of figures"/>
    <w:basedOn w:val="Normal"/>
    <w:next w:val="Normal"/>
    <w:uiPriority w:val="99"/>
    <w:unhideWhenUsed/>
    <w:rsid w:val="007A492E"/>
    <w:pPr>
      <w:spacing w:after="0" w:line="276" w:lineRule="auto"/>
      <w:ind w:left="440" w:hanging="440"/>
      <w:jc w:val="both"/>
    </w:pPr>
    <w:rPr>
      <w:rFonts w:ascii="Calibri" w:eastAsia="Times New Roman" w:hAnsi="Calibri" w:cs="Times New Roman"/>
      <w:smallCaps/>
      <w:szCs w:val="24"/>
      <w:lang w:eastAsia="ko-KR" w:bidi="fa-IR"/>
    </w:rPr>
  </w:style>
  <w:style w:type="paragraph" w:styleId="TOC4">
    <w:name w:val="toc 4"/>
    <w:basedOn w:val="Normal"/>
    <w:next w:val="Normal"/>
    <w:autoRedefine/>
    <w:uiPriority w:val="39"/>
    <w:unhideWhenUsed/>
    <w:rsid w:val="007A492E"/>
    <w:pPr>
      <w:spacing w:after="100" w:line="276" w:lineRule="auto"/>
      <w:ind w:left="660"/>
      <w:jc w:val="both"/>
    </w:pPr>
    <w:rPr>
      <w:rFonts w:ascii="Calibri" w:eastAsia="Times New Roman" w:hAnsi="Calibri" w:cs="Arial"/>
    </w:rPr>
  </w:style>
  <w:style w:type="paragraph" w:styleId="TOC5">
    <w:name w:val="toc 5"/>
    <w:basedOn w:val="Normal"/>
    <w:next w:val="Normal"/>
    <w:autoRedefine/>
    <w:uiPriority w:val="39"/>
    <w:unhideWhenUsed/>
    <w:rsid w:val="007A492E"/>
    <w:pPr>
      <w:spacing w:after="100" w:line="276" w:lineRule="auto"/>
      <w:ind w:left="880"/>
      <w:jc w:val="both"/>
    </w:pPr>
    <w:rPr>
      <w:rFonts w:ascii="Calibri" w:eastAsia="Times New Roman" w:hAnsi="Calibri" w:cs="Arial"/>
    </w:rPr>
  </w:style>
  <w:style w:type="paragraph" w:styleId="TOC6">
    <w:name w:val="toc 6"/>
    <w:basedOn w:val="Normal"/>
    <w:next w:val="Normal"/>
    <w:autoRedefine/>
    <w:uiPriority w:val="39"/>
    <w:unhideWhenUsed/>
    <w:rsid w:val="007A492E"/>
    <w:pPr>
      <w:spacing w:after="100" w:line="276" w:lineRule="auto"/>
      <w:ind w:left="1100"/>
      <w:jc w:val="both"/>
    </w:pPr>
    <w:rPr>
      <w:rFonts w:ascii="Calibri" w:eastAsia="Times New Roman" w:hAnsi="Calibri" w:cs="Arial"/>
    </w:rPr>
  </w:style>
  <w:style w:type="paragraph" w:styleId="TOC7">
    <w:name w:val="toc 7"/>
    <w:basedOn w:val="Normal"/>
    <w:next w:val="Normal"/>
    <w:autoRedefine/>
    <w:uiPriority w:val="39"/>
    <w:unhideWhenUsed/>
    <w:rsid w:val="007A492E"/>
    <w:pPr>
      <w:spacing w:after="100" w:line="276" w:lineRule="auto"/>
      <w:ind w:left="1320"/>
      <w:jc w:val="both"/>
    </w:pPr>
    <w:rPr>
      <w:rFonts w:ascii="Calibri" w:eastAsia="Times New Roman" w:hAnsi="Calibri" w:cs="Arial"/>
    </w:rPr>
  </w:style>
  <w:style w:type="paragraph" w:styleId="TOC8">
    <w:name w:val="toc 8"/>
    <w:basedOn w:val="Normal"/>
    <w:next w:val="Normal"/>
    <w:autoRedefine/>
    <w:uiPriority w:val="39"/>
    <w:unhideWhenUsed/>
    <w:rsid w:val="007A492E"/>
    <w:pPr>
      <w:spacing w:after="100" w:line="276" w:lineRule="auto"/>
      <w:ind w:left="1540"/>
      <w:jc w:val="both"/>
    </w:pPr>
    <w:rPr>
      <w:rFonts w:ascii="Calibri" w:eastAsia="Times New Roman" w:hAnsi="Calibri" w:cs="Arial"/>
    </w:rPr>
  </w:style>
  <w:style w:type="paragraph" w:styleId="TOC9">
    <w:name w:val="toc 9"/>
    <w:basedOn w:val="Normal"/>
    <w:next w:val="Normal"/>
    <w:autoRedefine/>
    <w:uiPriority w:val="39"/>
    <w:unhideWhenUsed/>
    <w:rsid w:val="007A492E"/>
    <w:pPr>
      <w:spacing w:after="100" w:line="276" w:lineRule="auto"/>
      <w:ind w:left="1760"/>
      <w:jc w:val="both"/>
    </w:pPr>
    <w:rPr>
      <w:rFonts w:ascii="Calibri" w:eastAsia="Times New Roman" w:hAnsi="Calibri" w:cs="Arial"/>
    </w:rPr>
  </w:style>
  <w:style w:type="paragraph" w:styleId="DocumentMap">
    <w:name w:val="Document Map"/>
    <w:basedOn w:val="Normal"/>
    <w:link w:val="DocumentMapChar"/>
    <w:uiPriority w:val="99"/>
    <w:semiHidden/>
    <w:unhideWhenUsed/>
    <w:rsid w:val="007A492E"/>
    <w:pPr>
      <w:bidi/>
      <w:spacing w:after="200" w:line="276" w:lineRule="auto"/>
      <w:jc w:val="both"/>
    </w:pPr>
    <w:rPr>
      <w:rFonts w:ascii="Tahoma" w:eastAsia="Times New Roman" w:hAnsi="Tahoma" w:cs="Tahoma"/>
      <w:sz w:val="16"/>
      <w:szCs w:val="16"/>
      <w:lang w:eastAsia="ko-KR" w:bidi="fa-IR"/>
    </w:rPr>
  </w:style>
  <w:style w:type="character" w:customStyle="1" w:styleId="DocumentMapChar">
    <w:name w:val="Document Map Char"/>
    <w:basedOn w:val="DefaultParagraphFont"/>
    <w:link w:val="DocumentMap"/>
    <w:uiPriority w:val="99"/>
    <w:semiHidden/>
    <w:rsid w:val="007A492E"/>
    <w:rPr>
      <w:rFonts w:ascii="Tahoma" w:eastAsia="Times New Roman" w:hAnsi="Tahoma" w:cs="Tahoma"/>
      <w:sz w:val="16"/>
      <w:szCs w:val="16"/>
      <w:lang w:eastAsia="ko-KR" w:bidi="fa-IR"/>
    </w:rPr>
  </w:style>
  <w:style w:type="character" w:customStyle="1" w:styleId="shorttext">
    <w:name w:val="short_text"/>
    <w:rsid w:val="007A492E"/>
  </w:style>
  <w:style w:type="character" w:customStyle="1" w:styleId="hps">
    <w:name w:val="hps"/>
    <w:rsid w:val="007A492E"/>
  </w:style>
  <w:style w:type="character" w:customStyle="1" w:styleId="MTConvertedEquation">
    <w:name w:val="MTConvertedEquation"/>
    <w:rsid w:val="007A492E"/>
    <w:rPr>
      <w:rFonts w:ascii="Times New Roman" w:hAnsi="Times New Roman" w:cs="B Lotus"/>
      <w:i/>
      <w:position w:val="-11"/>
      <w:sz w:val="24"/>
      <w:szCs w:val="28"/>
    </w:rPr>
  </w:style>
  <w:style w:type="character" w:customStyle="1" w:styleId="ItalicChar">
    <w:name w:val="Italic Char"/>
    <w:link w:val="Italic"/>
    <w:rsid w:val="007A492E"/>
    <w:rPr>
      <w:rFonts w:ascii="Georgia" w:eastAsia="Georgia" w:hAnsi="Georgia" w:cs="Times New Roman"/>
      <w:i/>
      <w:color w:val="84AA33"/>
    </w:rPr>
  </w:style>
  <w:style w:type="paragraph" w:customStyle="1" w:styleId="AllCaps">
    <w:name w:val="All Caps"/>
    <w:basedOn w:val="Normal"/>
    <w:rsid w:val="007A492E"/>
    <w:pPr>
      <w:spacing w:after="0" w:line="240" w:lineRule="auto"/>
      <w:jc w:val="center"/>
    </w:pPr>
    <w:rPr>
      <w:rFonts w:ascii="Garamond" w:eastAsia="Times New Roman" w:hAnsi="Garamond" w:cs="Times New Roman"/>
      <w:caps/>
      <w:color w:val="073A77"/>
      <w:sz w:val="18"/>
      <w:szCs w:val="18"/>
    </w:rPr>
  </w:style>
  <w:style w:type="character" w:customStyle="1" w:styleId="spanenspanen">
    <w:name w:val="spanen spanen"/>
    <w:rsid w:val="007A492E"/>
  </w:style>
  <w:style w:type="character" w:customStyle="1" w:styleId="FootnoteTextChar1">
    <w:name w:val="Footnote Text Char1"/>
    <w:uiPriority w:val="99"/>
    <w:semiHidden/>
    <w:rsid w:val="007A492E"/>
    <w:rPr>
      <w:rFonts w:ascii="Calibri" w:eastAsia="Calibri" w:hAnsi="Calibri" w:cs="Arial"/>
      <w:sz w:val="20"/>
      <w:szCs w:val="20"/>
    </w:rPr>
  </w:style>
  <w:style w:type="character" w:customStyle="1" w:styleId="EndnoteTextChar1">
    <w:name w:val="Endnote Text Char1"/>
    <w:uiPriority w:val="99"/>
    <w:semiHidden/>
    <w:rsid w:val="007A492E"/>
    <w:rPr>
      <w:rFonts w:ascii="Calibri" w:eastAsia="Calibri" w:hAnsi="Calibri" w:cs="Arial"/>
      <w:sz w:val="20"/>
      <w:szCs w:val="20"/>
    </w:rPr>
  </w:style>
  <w:style w:type="character" w:customStyle="1" w:styleId="FooterChar1">
    <w:name w:val="Footer Char1"/>
    <w:uiPriority w:val="99"/>
    <w:semiHidden/>
    <w:rsid w:val="007A492E"/>
    <w:rPr>
      <w:rFonts w:ascii="Calibri" w:eastAsia="Calibri" w:hAnsi="Calibri" w:cs="Arial"/>
    </w:rPr>
  </w:style>
  <w:style w:type="character" w:styleId="CommentReference">
    <w:name w:val="annotation reference"/>
    <w:uiPriority w:val="99"/>
    <w:semiHidden/>
    <w:unhideWhenUsed/>
    <w:rsid w:val="007A492E"/>
    <w:rPr>
      <w:sz w:val="16"/>
      <w:szCs w:val="16"/>
    </w:rPr>
  </w:style>
  <w:style w:type="paragraph" w:styleId="CommentText">
    <w:name w:val="annotation text"/>
    <w:basedOn w:val="Normal"/>
    <w:link w:val="CommentTextChar"/>
    <w:uiPriority w:val="99"/>
    <w:semiHidden/>
    <w:unhideWhenUsed/>
    <w:rsid w:val="007A492E"/>
    <w:pPr>
      <w:spacing w:after="200" w:line="276" w:lineRule="auto"/>
      <w:jc w:val="both"/>
    </w:pPr>
    <w:rPr>
      <w:rFonts w:ascii="Times New Roman" w:eastAsia="Calibri" w:hAnsi="Times New Roman" w:cs="Arial"/>
    </w:rPr>
  </w:style>
  <w:style w:type="character" w:customStyle="1" w:styleId="CommentTextChar">
    <w:name w:val="Comment Text Char"/>
    <w:basedOn w:val="DefaultParagraphFont"/>
    <w:link w:val="CommentText"/>
    <w:uiPriority w:val="99"/>
    <w:semiHidden/>
    <w:rsid w:val="007A492E"/>
    <w:rPr>
      <w:rFonts w:ascii="Times New Roman" w:eastAsia="Calibri" w:hAnsi="Times New Roman" w:cs="Arial"/>
      <w:sz w:val="20"/>
      <w:szCs w:val="20"/>
    </w:rPr>
  </w:style>
  <w:style w:type="paragraph" w:styleId="CommentSubject">
    <w:name w:val="annotation subject"/>
    <w:basedOn w:val="CommentText"/>
    <w:next w:val="CommentText"/>
    <w:link w:val="CommentSubjectChar"/>
    <w:uiPriority w:val="99"/>
    <w:semiHidden/>
    <w:unhideWhenUsed/>
    <w:rsid w:val="007A492E"/>
    <w:rPr>
      <w:b/>
      <w:bCs/>
    </w:rPr>
  </w:style>
  <w:style w:type="character" w:customStyle="1" w:styleId="CommentSubjectChar">
    <w:name w:val="Comment Subject Char"/>
    <w:basedOn w:val="CommentTextChar"/>
    <w:link w:val="CommentSubject"/>
    <w:uiPriority w:val="99"/>
    <w:semiHidden/>
    <w:rsid w:val="007A492E"/>
    <w:rPr>
      <w:rFonts w:ascii="Times New Roman" w:eastAsia="Calibri" w:hAnsi="Times New Roman" w:cs="Arial"/>
      <w:b/>
      <w:bCs/>
      <w:sz w:val="20"/>
      <w:szCs w:val="20"/>
    </w:rPr>
  </w:style>
  <w:style w:type="table" w:styleId="LightGrid-Accent3">
    <w:name w:val="Light Grid Accent 3"/>
    <w:basedOn w:val="TableNormal"/>
    <w:uiPriority w:val="62"/>
    <w:rsid w:val="007A492E"/>
    <w:pPr>
      <w:spacing w:after="0" w:line="240" w:lineRule="auto"/>
    </w:pPr>
    <w:rPr>
      <w:rFonts w:ascii="Perpetua" w:eastAsia="Times New Roman" w:hAnsi="Perpetua" w:cs="Times New Roman"/>
    </w:rPr>
    <w:tblPr>
      <w:tblStyleRowBandSize w:val="1"/>
      <w:tblStyleColBandSize w:val="1"/>
      <w:tblBorders>
        <w:top w:val="single" w:sz="8" w:space="0" w:color="A28E6A"/>
        <w:left w:val="single" w:sz="8" w:space="0" w:color="A28E6A"/>
        <w:bottom w:val="single" w:sz="8" w:space="0" w:color="A28E6A"/>
        <w:right w:val="single" w:sz="8" w:space="0" w:color="A28E6A"/>
        <w:insideH w:val="single" w:sz="8" w:space="0" w:color="A28E6A"/>
        <w:insideV w:val="single" w:sz="8" w:space="0" w:color="A28E6A"/>
      </w:tblBorders>
    </w:tblPr>
    <w:tblStylePr w:type="firstRow">
      <w:pPr>
        <w:spacing w:before="0" w:after="0" w:line="240" w:lineRule="auto"/>
      </w:pPr>
      <w:rPr>
        <w:rFonts w:ascii="Jokerman" w:eastAsia="Times New Roman" w:hAnsi="Jokerman" w:cs="Tw Cen MT"/>
        <w:b/>
        <w:bCs/>
      </w:rPr>
      <w:tblPr/>
      <w:tcPr>
        <w:tcBorders>
          <w:top w:val="single" w:sz="8" w:space="0" w:color="A28E6A"/>
          <w:left w:val="single" w:sz="8" w:space="0" w:color="A28E6A"/>
          <w:bottom w:val="single" w:sz="18" w:space="0" w:color="A28E6A"/>
          <w:right w:val="single" w:sz="8" w:space="0" w:color="A28E6A"/>
          <w:insideH w:val="nil"/>
          <w:insideV w:val="single" w:sz="8" w:space="0" w:color="A28E6A"/>
        </w:tcBorders>
      </w:tcPr>
    </w:tblStylePr>
    <w:tblStylePr w:type="lastRow">
      <w:pPr>
        <w:spacing w:before="0" w:after="0" w:line="240" w:lineRule="auto"/>
      </w:pPr>
      <w:rPr>
        <w:rFonts w:ascii="Jokerman" w:eastAsia="Times New Roman" w:hAnsi="Jokerman" w:cs="Tw Cen MT"/>
        <w:b/>
        <w:bCs/>
      </w:rPr>
      <w:tblPr/>
      <w:tcPr>
        <w:tcBorders>
          <w:top w:val="double" w:sz="6" w:space="0" w:color="A28E6A"/>
          <w:left w:val="single" w:sz="8" w:space="0" w:color="A28E6A"/>
          <w:bottom w:val="single" w:sz="8" w:space="0" w:color="A28E6A"/>
          <w:right w:val="single" w:sz="8" w:space="0" w:color="A28E6A"/>
          <w:insideH w:val="nil"/>
          <w:insideV w:val="single" w:sz="8" w:space="0" w:color="A28E6A"/>
        </w:tcBorders>
      </w:tcPr>
    </w:tblStylePr>
    <w:tblStylePr w:type="firstCol">
      <w:rPr>
        <w:rFonts w:ascii="Jokerman" w:eastAsia="Times New Roman" w:hAnsi="Jokerman" w:cs="Tw Cen MT"/>
        <w:b/>
        <w:bCs/>
      </w:rPr>
    </w:tblStylePr>
    <w:tblStylePr w:type="lastCol">
      <w:rPr>
        <w:rFonts w:ascii="Jokerman" w:eastAsia="Times New Roman" w:hAnsi="Jokerman" w:cs="Tw Cen MT"/>
        <w:b/>
        <w:bCs/>
      </w:rPr>
      <w:tblPr/>
      <w:tcPr>
        <w:tcBorders>
          <w:top w:val="single" w:sz="8" w:space="0" w:color="A28E6A"/>
          <w:left w:val="single" w:sz="8" w:space="0" w:color="A28E6A"/>
          <w:bottom w:val="single" w:sz="8" w:space="0" w:color="A28E6A"/>
          <w:right w:val="single" w:sz="8" w:space="0" w:color="A28E6A"/>
        </w:tcBorders>
      </w:tcPr>
    </w:tblStylePr>
    <w:tblStylePr w:type="band1Vert">
      <w:tblPr/>
      <w:tcPr>
        <w:tcBorders>
          <w:top w:val="single" w:sz="8" w:space="0" w:color="A28E6A"/>
          <w:left w:val="single" w:sz="8" w:space="0" w:color="A28E6A"/>
          <w:bottom w:val="single" w:sz="8" w:space="0" w:color="A28E6A"/>
          <w:right w:val="single" w:sz="8" w:space="0" w:color="A28E6A"/>
        </w:tcBorders>
        <w:shd w:val="clear" w:color="auto" w:fill="E8E2DA"/>
      </w:tcPr>
    </w:tblStylePr>
    <w:tblStylePr w:type="band1Horz">
      <w:tblPr/>
      <w:tcPr>
        <w:tcBorders>
          <w:top w:val="single" w:sz="8" w:space="0" w:color="A28E6A"/>
          <w:left w:val="single" w:sz="8" w:space="0" w:color="A28E6A"/>
          <w:bottom w:val="single" w:sz="8" w:space="0" w:color="A28E6A"/>
          <w:right w:val="single" w:sz="8" w:space="0" w:color="A28E6A"/>
          <w:insideV w:val="single" w:sz="8" w:space="0" w:color="A28E6A"/>
        </w:tcBorders>
        <w:shd w:val="clear" w:color="auto" w:fill="E8E2DA"/>
      </w:tcPr>
    </w:tblStylePr>
    <w:tblStylePr w:type="band2Horz">
      <w:tblPr/>
      <w:tcPr>
        <w:tcBorders>
          <w:top w:val="single" w:sz="8" w:space="0" w:color="A28E6A"/>
          <w:left w:val="single" w:sz="8" w:space="0" w:color="A28E6A"/>
          <w:bottom w:val="single" w:sz="8" w:space="0" w:color="A28E6A"/>
          <w:right w:val="single" w:sz="8" w:space="0" w:color="A28E6A"/>
          <w:insideV w:val="single" w:sz="8" w:space="0" w:color="A28E6A"/>
        </w:tcBorders>
      </w:tcPr>
    </w:tblStylePr>
  </w:style>
  <w:style w:type="paragraph" w:styleId="Title">
    <w:name w:val="Title"/>
    <w:basedOn w:val="Normal"/>
    <w:next w:val="Normal"/>
    <w:link w:val="TitleChar"/>
    <w:uiPriority w:val="10"/>
    <w:qFormat/>
    <w:rsid w:val="007A492E"/>
    <w:pPr>
      <w:spacing w:after="0" w:line="204" w:lineRule="auto"/>
      <w:contextualSpacing/>
    </w:pPr>
    <w:rPr>
      <w:rFonts w:ascii="Trebuchet MS" w:eastAsia="Times New Roman" w:hAnsi="Trebuchet MS" w:cs="Tahoma"/>
      <w:caps/>
      <w:color w:val="2C3C43"/>
      <w:spacing w:val="-15"/>
      <w:sz w:val="72"/>
      <w:szCs w:val="72"/>
      <w:lang w:bidi="fa-IR"/>
    </w:rPr>
  </w:style>
  <w:style w:type="character" w:customStyle="1" w:styleId="TitleChar">
    <w:name w:val="Title Char"/>
    <w:basedOn w:val="DefaultParagraphFont"/>
    <w:link w:val="Title"/>
    <w:uiPriority w:val="10"/>
    <w:rsid w:val="007A492E"/>
    <w:rPr>
      <w:rFonts w:ascii="Trebuchet MS" w:eastAsia="Times New Roman" w:hAnsi="Trebuchet MS" w:cs="Tahoma"/>
      <w:caps/>
      <w:color w:val="2C3C43"/>
      <w:spacing w:val="-15"/>
      <w:sz w:val="72"/>
      <w:szCs w:val="72"/>
      <w:lang w:bidi="fa-IR"/>
    </w:rPr>
  </w:style>
  <w:style w:type="paragraph" w:styleId="Quote">
    <w:name w:val="Quote"/>
    <w:basedOn w:val="Normal"/>
    <w:next w:val="Normal"/>
    <w:link w:val="QuoteChar"/>
    <w:uiPriority w:val="29"/>
    <w:qFormat/>
    <w:rsid w:val="007A492E"/>
    <w:pPr>
      <w:spacing w:before="120" w:after="120"/>
      <w:ind w:left="720"/>
    </w:pPr>
    <w:rPr>
      <w:rFonts w:ascii="Trebuchet MS" w:eastAsia="Trebuchet MS" w:hAnsi="Trebuchet MS" w:cs="B Nazanin"/>
      <w:color w:val="2C3C43"/>
      <w:szCs w:val="24"/>
      <w:lang w:bidi="fa-IR"/>
    </w:rPr>
  </w:style>
  <w:style w:type="character" w:customStyle="1" w:styleId="QuoteChar">
    <w:name w:val="Quote Char"/>
    <w:basedOn w:val="DefaultParagraphFont"/>
    <w:link w:val="Quote"/>
    <w:uiPriority w:val="29"/>
    <w:rsid w:val="007A492E"/>
    <w:rPr>
      <w:rFonts w:ascii="Trebuchet MS" w:eastAsia="Trebuchet MS" w:hAnsi="Trebuchet MS" w:cs="B Nazanin"/>
      <w:color w:val="2C3C43"/>
      <w:szCs w:val="24"/>
      <w:lang w:bidi="fa-IR"/>
    </w:rPr>
  </w:style>
  <w:style w:type="paragraph" w:styleId="IntenseQuote">
    <w:name w:val="Intense Quote"/>
    <w:basedOn w:val="Normal"/>
    <w:next w:val="Normal"/>
    <w:link w:val="IntenseQuoteChar"/>
    <w:uiPriority w:val="30"/>
    <w:qFormat/>
    <w:rsid w:val="007A492E"/>
    <w:pPr>
      <w:spacing w:before="100" w:beforeAutospacing="1" w:after="240" w:line="240" w:lineRule="auto"/>
      <w:ind w:left="720"/>
      <w:jc w:val="center"/>
    </w:pPr>
    <w:rPr>
      <w:rFonts w:ascii="Trebuchet MS" w:eastAsia="Times New Roman" w:hAnsi="Trebuchet MS" w:cs="Tahoma"/>
      <w:color w:val="2C3C43"/>
      <w:spacing w:val="-6"/>
      <w:sz w:val="32"/>
      <w:szCs w:val="32"/>
      <w:lang w:bidi="fa-IR"/>
    </w:rPr>
  </w:style>
  <w:style w:type="character" w:customStyle="1" w:styleId="IntenseQuoteChar">
    <w:name w:val="Intense Quote Char"/>
    <w:basedOn w:val="DefaultParagraphFont"/>
    <w:link w:val="IntenseQuote"/>
    <w:uiPriority w:val="30"/>
    <w:rsid w:val="007A492E"/>
    <w:rPr>
      <w:rFonts w:ascii="Trebuchet MS" w:eastAsia="Times New Roman" w:hAnsi="Trebuchet MS" w:cs="Tahoma"/>
      <w:color w:val="2C3C43"/>
      <w:spacing w:val="-6"/>
      <w:sz w:val="32"/>
      <w:szCs w:val="32"/>
      <w:lang w:bidi="fa-IR"/>
    </w:rPr>
  </w:style>
  <w:style w:type="character" w:styleId="IntenseEmphasis">
    <w:name w:val="Intense Emphasis"/>
    <w:uiPriority w:val="21"/>
    <w:qFormat/>
    <w:rsid w:val="007A492E"/>
    <w:rPr>
      <w:b/>
      <w:bCs/>
      <w:i/>
      <w:iCs/>
    </w:rPr>
  </w:style>
  <w:style w:type="character" w:styleId="SubtleReference">
    <w:name w:val="Subtle Reference"/>
    <w:uiPriority w:val="31"/>
    <w:qFormat/>
    <w:rsid w:val="007A492E"/>
    <w:rPr>
      <w:smallCaps/>
      <w:color w:val="595959"/>
      <w:u w:val="none" w:color="7F7F7F"/>
      <w:bdr w:val="none" w:sz="0" w:space="0" w:color="auto"/>
    </w:rPr>
  </w:style>
  <w:style w:type="character" w:styleId="IntenseReference">
    <w:name w:val="Intense Reference"/>
    <w:uiPriority w:val="32"/>
    <w:qFormat/>
    <w:rsid w:val="007A492E"/>
    <w:rPr>
      <w:b/>
      <w:bCs/>
      <w:smallCaps/>
      <w:color w:val="2C3C43"/>
      <w:u w:val="single"/>
    </w:rPr>
  </w:style>
  <w:style w:type="paragraph" w:customStyle="1" w:styleId="Chapter">
    <w:name w:val="Chapter"/>
    <w:basedOn w:val="Title"/>
    <w:next w:val="Normal"/>
    <w:autoRedefine/>
    <w:qFormat/>
    <w:rsid w:val="007A492E"/>
    <w:pPr>
      <w:pageBreakBefore/>
      <w:suppressLineNumbers/>
      <w:pBdr>
        <w:bottom w:val="single" w:sz="8" w:space="4" w:color="4F81BD"/>
      </w:pBdr>
      <w:tabs>
        <w:tab w:val="left" w:pos="1371"/>
      </w:tabs>
      <w:bidi/>
      <w:spacing w:line="240" w:lineRule="auto"/>
      <w:ind w:firstLine="357"/>
      <w:jc w:val="both"/>
    </w:pPr>
    <w:rPr>
      <w:rFonts w:ascii="Cambria" w:hAnsi="Cambria" w:cs="B Zar"/>
      <w:bCs/>
      <w:caps w:val="0"/>
      <w:color w:val="17365D"/>
      <w:spacing w:val="5"/>
      <w:kern w:val="28"/>
      <w:sz w:val="52"/>
      <w:szCs w:val="44"/>
    </w:rPr>
  </w:style>
  <w:style w:type="numbering" w:customStyle="1" w:styleId="Style1">
    <w:name w:val="Style1"/>
    <w:uiPriority w:val="99"/>
    <w:rsid w:val="007A492E"/>
    <w:pPr>
      <w:numPr>
        <w:numId w:val="6"/>
      </w:numPr>
    </w:pPr>
  </w:style>
  <w:style w:type="numbering" w:customStyle="1" w:styleId="MyStyle">
    <w:name w:val="MyStyle"/>
    <w:uiPriority w:val="99"/>
    <w:rsid w:val="007A492E"/>
    <w:pPr>
      <w:numPr>
        <w:numId w:val="5"/>
      </w:numPr>
    </w:pPr>
  </w:style>
  <w:style w:type="numbering" w:customStyle="1" w:styleId="Article">
    <w:name w:val="Article"/>
    <w:basedOn w:val="NoList"/>
    <w:uiPriority w:val="99"/>
    <w:rsid w:val="007A492E"/>
    <w:pPr>
      <w:numPr>
        <w:numId w:val="4"/>
      </w:numPr>
    </w:pPr>
  </w:style>
  <w:style w:type="paragraph" w:customStyle="1" w:styleId="Equation">
    <w:name w:val="Equation"/>
    <w:basedOn w:val="Normal"/>
    <w:autoRedefine/>
    <w:qFormat/>
    <w:rsid w:val="007A492E"/>
    <w:pPr>
      <w:bidi/>
      <w:spacing w:after="0" w:line="240" w:lineRule="auto"/>
      <w:ind w:firstLine="360"/>
      <w:jc w:val="both"/>
    </w:pPr>
    <w:rPr>
      <w:rFonts w:ascii="Rockwell" w:eastAsia="Times New Roman" w:hAnsi="Rockwell" w:cs="B Badr"/>
      <w:sz w:val="32"/>
      <w:szCs w:val="32"/>
      <w:lang w:bidi="fa-IR"/>
    </w:rPr>
  </w:style>
  <w:style w:type="table" w:styleId="MediumShading2-Accent1">
    <w:name w:val="Medium Shading 2 Accent 1"/>
    <w:basedOn w:val="TableNormal"/>
    <w:uiPriority w:val="64"/>
    <w:semiHidden/>
    <w:unhideWhenUsed/>
    <w:rsid w:val="007A492E"/>
    <w:pPr>
      <w:spacing w:after="0" w:line="240" w:lineRule="auto"/>
    </w:pPr>
    <w:rPr>
      <w:rFonts w:ascii="Calibri" w:eastAsia="Calibri" w:hAnsi="Calibri" w:cs="B Zar"/>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GridLight">
    <w:name w:val="Grid Table Light"/>
    <w:basedOn w:val="TableNormal"/>
    <w:uiPriority w:val="40"/>
    <w:rsid w:val="007A492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pple-converted-space">
    <w:name w:val="apple-converted-space"/>
    <w:rsid w:val="007A492E"/>
  </w:style>
  <w:style w:type="paragraph" w:customStyle="1" w:styleId="Default">
    <w:name w:val="Default"/>
    <w:rsid w:val="007A492E"/>
    <w:pPr>
      <w:autoSpaceDE w:val="0"/>
      <w:autoSpaceDN w:val="0"/>
      <w:adjustRightInd w:val="0"/>
      <w:spacing w:after="0" w:line="240" w:lineRule="auto"/>
    </w:pPr>
    <w:rPr>
      <w:rFonts w:ascii="Times New Roman" w:eastAsia="Calibri" w:hAnsi="Times New Roman" w:cs="Times New Roman"/>
      <w:color w:val="000000"/>
      <w:sz w:val="24"/>
      <w:szCs w:val="24"/>
      <w:lang w:bidi="fa-IR"/>
    </w:rPr>
  </w:style>
  <w:style w:type="paragraph" w:customStyle="1" w:styleId="preferenceitem">
    <w:name w:val="preferenceitem"/>
    <w:basedOn w:val="Normal"/>
    <w:rsid w:val="007A492E"/>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uiPriority w:val="99"/>
    <w:unhideWhenUsed/>
    <w:rsid w:val="007A492E"/>
    <w:rPr>
      <w:color w:val="800080"/>
      <w:u w:val="single"/>
    </w:rPr>
  </w:style>
  <w:style w:type="character" w:customStyle="1" w:styleId="ListParagraphChar">
    <w:name w:val="List Paragraph Char"/>
    <w:aliases w:val="Numbered Items Char,فهرست منابع Char"/>
    <w:link w:val="ListParagraph"/>
    <w:uiPriority w:val="34"/>
    <w:rsid w:val="00FB63F0"/>
    <w:rPr>
      <w:rFonts w:ascii="Gandom" w:eastAsia="Calibri" w:hAnsi="Gandom" w:cs="Gandom"/>
      <w:sz w:val="20"/>
      <w:szCs w:val="20"/>
    </w:rPr>
  </w:style>
  <w:style w:type="character" w:customStyle="1" w:styleId="UnresolvedMention10">
    <w:name w:val="Unresolved Mention1"/>
    <w:basedOn w:val="DefaultParagraphFont"/>
    <w:uiPriority w:val="99"/>
    <w:semiHidden/>
    <w:unhideWhenUsed/>
    <w:rsid w:val="007A492E"/>
    <w:rPr>
      <w:color w:val="605E5C"/>
      <w:shd w:val="clear" w:color="auto" w:fill="E1DFDD"/>
    </w:rPr>
  </w:style>
  <w:style w:type="character" w:customStyle="1" w:styleId="tlid-translation">
    <w:name w:val="tlid-translation"/>
    <w:basedOn w:val="DefaultParagraphFont"/>
    <w:rsid w:val="007A492E"/>
  </w:style>
  <w:style w:type="character" w:customStyle="1" w:styleId="bold">
    <w:name w:val="bold"/>
    <w:basedOn w:val="DefaultParagraphFont"/>
    <w:rsid w:val="007A492E"/>
  </w:style>
  <w:style w:type="table" w:customStyle="1" w:styleId="PlainTable21">
    <w:name w:val="Plain Table 21"/>
    <w:basedOn w:val="TableNormal"/>
    <w:uiPriority w:val="42"/>
    <w:rsid w:val="00F770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82924">
      <w:bodyDiv w:val="1"/>
      <w:marLeft w:val="0"/>
      <w:marRight w:val="0"/>
      <w:marTop w:val="0"/>
      <w:marBottom w:val="0"/>
      <w:divBdr>
        <w:top w:val="none" w:sz="0" w:space="0" w:color="auto"/>
        <w:left w:val="none" w:sz="0" w:space="0" w:color="auto"/>
        <w:bottom w:val="none" w:sz="0" w:space="0" w:color="auto"/>
        <w:right w:val="none" w:sz="0" w:space="0" w:color="auto"/>
      </w:divBdr>
      <w:divsChild>
        <w:div w:id="1750738083">
          <w:marLeft w:val="0"/>
          <w:marRight w:val="0"/>
          <w:marTop w:val="0"/>
          <w:marBottom w:val="0"/>
          <w:divBdr>
            <w:top w:val="none" w:sz="0" w:space="0" w:color="auto"/>
            <w:left w:val="none" w:sz="0" w:space="0" w:color="auto"/>
            <w:bottom w:val="none" w:sz="0" w:space="0" w:color="auto"/>
            <w:right w:val="none" w:sz="0" w:space="0" w:color="auto"/>
          </w:divBdr>
        </w:div>
      </w:divsChild>
    </w:div>
    <w:div w:id="609702090">
      <w:bodyDiv w:val="1"/>
      <w:marLeft w:val="0"/>
      <w:marRight w:val="0"/>
      <w:marTop w:val="0"/>
      <w:marBottom w:val="0"/>
      <w:divBdr>
        <w:top w:val="none" w:sz="0" w:space="0" w:color="auto"/>
        <w:left w:val="none" w:sz="0" w:space="0" w:color="auto"/>
        <w:bottom w:val="none" w:sz="0" w:space="0" w:color="auto"/>
        <w:right w:val="none" w:sz="0" w:space="0" w:color="auto"/>
      </w:divBdr>
      <w:divsChild>
        <w:div w:id="473446475">
          <w:marLeft w:val="0"/>
          <w:marRight w:val="0"/>
          <w:marTop w:val="0"/>
          <w:marBottom w:val="0"/>
          <w:divBdr>
            <w:top w:val="none" w:sz="0" w:space="0" w:color="auto"/>
            <w:left w:val="none" w:sz="0" w:space="0" w:color="auto"/>
            <w:bottom w:val="none" w:sz="0" w:space="0" w:color="auto"/>
            <w:right w:val="none" w:sz="0" w:space="0" w:color="auto"/>
          </w:divBdr>
        </w:div>
      </w:divsChild>
    </w:div>
    <w:div w:id="615596650">
      <w:bodyDiv w:val="1"/>
      <w:marLeft w:val="0"/>
      <w:marRight w:val="0"/>
      <w:marTop w:val="0"/>
      <w:marBottom w:val="0"/>
      <w:divBdr>
        <w:top w:val="none" w:sz="0" w:space="0" w:color="auto"/>
        <w:left w:val="none" w:sz="0" w:space="0" w:color="auto"/>
        <w:bottom w:val="none" w:sz="0" w:space="0" w:color="auto"/>
        <w:right w:val="none" w:sz="0" w:space="0" w:color="auto"/>
      </w:divBdr>
    </w:div>
    <w:div w:id="1342899364">
      <w:bodyDiv w:val="1"/>
      <w:marLeft w:val="0"/>
      <w:marRight w:val="0"/>
      <w:marTop w:val="0"/>
      <w:marBottom w:val="0"/>
      <w:divBdr>
        <w:top w:val="none" w:sz="0" w:space="0" w:color="auto"/>
        <w:left w:val="none" w:sz="0" w:space="0" w:color="auto"/>
        <w:bottom w:val="none" w:sz="0" w:space="0" w:color="auto"/>
        <w:right w:val="none" w:sz="0" w:space="0" w:color="auto"/>
      </w:divBdr>
    </w:div>
    <w:div w:id="1461146085">
      <w:bodyDiv w:val="1"/>
      <w:marLeft w:val="0"/>
      <w:marRight w:val="0"/>
      <w:marTop w:val="0"/>
      <w:marBottom w:val="0"/>
      <w:divBdr>
        <w:top w:val="none" w:sz="0" w:space="0" w:color="auto"/>
        <w:left w:val="none" w:sz="0" w:space="0" w:color="auto"/>
        <w:bottom w:val="none" w:sz="0" w:space="0" w:color="auto"/>
        <w:right w:val="none" w:sz="0" w:space="0" w:color="auto"/>
      </w:divBdr>
    </w:div>
    <w:div w:id="1931423594">
      <w:bodyDiv w:val="1"/>
      <w:marLeft w:val="0"/>
      <w:marRight w:val="0"/>
      <w:marTop w:val="0"/>
      <w:marBottom w:val="0"/>
      <w:divBdr>
        <w:top w:val="none" w:sz="0" w:space="0" w:color="auto"/>
        <w:left w:val="none" w:sz="0" w:space="0" w:color="auto"/>
        <w:bottom w:val="none" w:sz="0" w:space="0" w:color="auto"/>
        <w:right w:val="none" w:sz="0" w:space="0" w:color="auto"/>
      </w:divBdr>
    </w:div>
    <w:div w:id="194526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2055/jqe.2024.45713.2599" TargetMode="External"/><Relationship Id="rId18" Type="http://schemas.openxmlformats.org/officeDocument/2006/relationships/image" Target="media/image7.wmf"/><Relationship Id="rId26" Type="http://schemas.openxmlformats.org/officeDocument/2006/relationships/image" Target="media/image9.wmf"/><Relationship Id="rId39" Type="http://schemas.openxmlformats.org/officeDocument/2006/relationships/footer" Target="footer1.xml"/><Relationship Id="rId21" Type="http://schemas.openxmlformats.org/officeDocument/2006/relationships/oleObject" Target="embeddings/oleObject4.bin"/><Relationship Id="rId34" Type="http://schemas.openxmlformats.org/officeDocument/2006/relationships/hyperlink" Target="http://www.joas.ir/user/articles/352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0.bin"/><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Samsami@sbu.ac.ir" TargetMode="External"/><Relationship Id="rId24" Type="http://schemas.openxmlformats.org/officeDocument/2006/relationships/oleObject" Target="embeddings/oleObject7.bin"/><Relationship Id="rId32" Type="http://schemas.openxmlformats.org/officeDocument/2006/relationships/image" Target="media/image12.wmf"/><Relationship Id="rId37" Type="http://schemas.openxmlformats.org/officeDocument/2006/relationships/header" Target="header2.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6.bin"/><Relationship Id="rId28" Type="http://schemas.openxmlformats.org/officeDocument/2006/relationships/image" Target="media/image10.wmf"/><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hyperlink" Target="mailto:h_pirpour@sbu.ac.ir" TargetMode="External"/><Relationship Id="rId14" Type="http://schemas.openxmlformats.org/officeDocument/2006/relationships/image" Target="media/image5.wmf"/><Relationship Id="rId22" Type="http://schemas.openxmlformats.org/officeDocument/2006/relationships/oleObject" Target="embeddings/oleObject5.bin"/><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hyperlink" Target="https://iee.rihu.ac.ir/article_311_en.html" TargetMode="External"/><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nc/4.0/" TargetMode="External"/><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hyperlink" Target="http://www.jqe.scu.ac.ir" TargetMode="External"/><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B4C78-08E8-42D3-B029-FF545BED9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Pages>
  <Words>2775</Words>
  <Characters>15819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ADMIN</cp:lastModifiedBy>
  <cp:revision>38</cp:revision>
  <cp:lastPrinted>2026-06-17T05:47:00Z</cp:lastPrinted>
  <dcterms:created xsi:type="dcterms:W3CDTF">2021-10-25T14:17:00Z</dcterms:created>
  <dcterms:modified xsi:type="dcterms:W3CDTF">2026-06-17T05:48:00Z</dcterms:modified>
</cp:coreProperties>
</file>